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9"/>
        <w:gridCol w:w="221"/>
      </w:tblGrid>
      <w:tr w:rsidR="006E66C5" w:rsidRPr="00566860" w14:paraId="21F9A184" w14:textId="77777777" w:rsidTr="00AF627B">
        <w:tc>
          <w:tcPr>
            <w:tcW w:w="4675" w:type="dxa"/>
          </w:tcPr>
          <w:tbl>
            <w:tblPr>
              <w:tblStyle w:val="TableGrid"/>
              <w:tblW w:w="8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0"/>
              <w:gridCol w:w="2882"/>
              <w:gridCol w:w="1599"/>
              <w:gridCol w:w="2022"/>
            </w:tblGrid>
            <w:tr w:rsidR="00BA0D87" w14:paraId="3E04A90C" w14:textId="29E3B2FB" w:rsidTr="00BA0D87">
              <w:trPr>
                <w:trHeight w:val="685"/>
                <w:jc w:val="center"/>
              </w:trPr>
              <w:tc>
                <w:tcPr>
                  <w:tcW w:w="2420" w:type="dxa"/>
                </w:tcPr>
                <w:p w14:paraId="60830882" w14:textId="77777777" w:rsidR="004421B7" w:rsidRDefault="004421B7" w:rsidP="00AF627B">
                  <w:pPr>
                    <w:rPr>
                      <w:color w:val="5B9BD5" w:themeColor="accent5"/>
                      <w:sz w:val="28"/>
                      <w:szCs w:val="28"/>
                    </w:rPr>
                  </w:pPr>
                  <w:r>
                    <w:rPr>
                      <w:noProof/>
                      <w:sz w:val="24"/>
                      <w:szCs w:val="24"/>
                      <w:lang w:val="en-GB" w:eastAsia="en-GB"/>
                    </w:rPr>
                    <w:drawing>
                      <wp:inline distT="0" distB="0" distL="0" distR="0" wp14:anchorId="53D60414" wp14:editId="066640A1">
                        <wp:extent cx="1578643" cy="5040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578643" cy="504000"/>
                                </a:xfrm>
                                <a:prstGeom prst="rect">
                                  <a:avLst/>
                                </a:prstGeom>
                                <a:noFill/>
                                <a:ln>
                                  <a:noFill/>
                                </a:ln>
                              </pic:spPr>
                            </pic:pic>
                          </a:graphicData>
                        </a:graphic>
                      </wp:inline>
                    </w:drawing>
                  </w:r>
                </w:p>
              </w:tc>
              <w:tc>
                <w:tcPr>
                  <w:tcW w:w="2882" w:type="dxa"/>
                </w:tcPr>
                <w:p w14:paraId="1DEA3BCB" w14:textId="44386284" w:rsidR="004421B7" w:rsidRDefault="004421B7" w:rsidP="00AF627B">
                  <w:pPr>
                    <w:rPr>
                      <w:color w:val="5B9BD5" w:themeColor="accent5"/>
                      <w:sz w:val="28"/>
                      <w:szCs w:val="28"/>
                    </w:rPr>
                  </w:pPr>
                  <w:r>
                    <w:rPr>
                      <w:noProof/>
                      <w:lang w:val="en-GB" w:eastAsia="en-GB"/>
                    </w:rPr>
                    <w:drawing>
                      <wp:inline distT="0" distB="0" distL="0" distR="0" wp14:anchorId="422843BC" wp14:editId="5E4BD2B4">
                        <wp:extent cx="1912820" cy="576000"/>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2820" cy="576000"/>
                                </a:xfrm>
                                <a:prstGeom prst="rect">
                                  <a:avLst/>
                                </a:prstGeom>
                              </pic:spPr>
                            </pic:pic>
                          </a:graphicData>
                        </a:graphic>
                      </wp:inline>
                    </w:drawing>
                  </w:r>
                </w:p>
              </w:tc>
              <w:tc>
                <w:tcPr>
                  <w:tcW w:w="1599" w:type="dxa"/>
                </w:tcPr>
                <w:p w14:paraId="08B05CC1" w14:textId="44F50A83" w:rsidR="004421B7" w:rsidRDefault="004421B7" w:rsidP="00AF627B">
                  <w:pPr>
                    <w:rPr>
                      <w:noProof/>
                    </w:rPr>
                  </w:pPr>
                  <w:r>
                    <w:rPr>
                      <w:noProof/>
                      <w:lang w:val="en-GB" w:eastAsia="en-GB"/>
                    </w:rPr>
                    <w:drawing>
                      <wp:inline distT="0" distB="0" distL="0" distR="0" wp14:anchorId="07A12CF2" wp14:editId="7C546E62">
                        <wp:extent cx="992188" cy="50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92188" cy="504000"/>
                                </a:xfrm>
                                <a:prstGeom prst="rect">
                                  <a:avLst/>
                                </a:prstGeom>
                              </pic:spPr>
                            </pic:pic>
                          </a:graphicData>
                        </a:graphic>
                      </wp:inline>
                    </w:drawing>
                  </w:r>
                </w:p>
              </w:tc>
              <w:tc>
                <w:tcPr>
                  <w:tcW w:w="2022" w:type="dxa"/>
                </w:tcPr>
                <w:p w14:paraId="1F561A82" w14:textId="3D524882" w:rsidR="004421B7" w:rsidRDefault="004421B7" w:rsidP="00AF627B">
                  <w:pPr>
                    <w:rPr>
                      <w:noProof/>
                    </w:rPr>
                  </w:pPr>
                  <w:r>
                    <w:rPr>
                      <w:noProof/>
                      <w:lang w:val="en-GB" w:eastAsia="en-GB"/>
                    </w:rPr>
                    <w:drawing>
                      <wp:inline distT="0" distB="0" distL="0" distR="0" wp14:anchorId="18B4835D" wp14:editId="036DDFD5">
                        <wp:extent cx="1285875" cy="539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86483" cy="540005"/>
                                </a:xfrm>
                                <a:prstGeom prst="rect">
                                  <a:avLst/>
                                </a:prstGeom>
                              </pic:spPr>
                            </pic:pic>
                          </a:graphicData>
                        </a:graphic>
                      </wp:inline>
                    </w:drawing>
                  </w:r>
                </w:p>
              </w:tc>
            </w:tr>
          </w:tbl>
          <w:p w14:paraId="47199382" w14:textId="18C1DE8A" w:rsidR="00566860" w:rsidRPr="00566860" w:rsidRDefault="00566860" w:rsidP="00566860">
            <w:pPr>
              <w:spacing w:after="160" w:line="259" w:lineRule="auto"/>
            </w:pPr>
            <w:bookmarkStart w:id="0" w:name="_Hlk67050268"/>
          </w:p>
        </w:tc>
        <w:tc>
          <w:tcPr>
            <w:tcW w:w="4675" w:type="dxa"/>
          </w:tcPr>
          <w:p w14:paraId="3B3CAE5B" w14:textId="281C8DC7" w:rsidR="00566860" w:rsidRPr="00566860" w:rsidRDefault="00566860" w:rsidP="00566860">
            <w:pPr>
              <w:spacing w:after="160" w:line="259" w:lineRule="auto"/>
            </w:pPr>
          </w:p>
        </w:tc>
      </w:tr>
      <w:bookmarkEnd w:id="0"/>
    </w:tbl>
    <w:p w14:paraId="523ABB0D" w14:textId="77777777" w:rsidR="00566860" w:rsidRPr="00566860" w:rsidRDefault="00566860" w:rsidP="00566860"/>
    <w:p w14:paraId="30E7BE94" w14:textId="49CB4C0C" w:rsidR="003048AC" w:rsidRPr="003048AC" w:rsidRDefault="003048AC" w:rsidP="003048AC">
      <w:pPr>
        <w:jc w:val="center"/>
        <w:rPr>
          <w:color w:val="2E74B5" w:themeColor="accent5" w:themeShade="BF"/>
          <w:sz w:val="28"/>
          <w:szCs w:val="28"/>
        </w:rPr>
      </w:pPr>
      <w:r w:rsidRPr="003048AC">
        <w:rPr>
          <w:color w:val="2E74B5" w:themeColor="accent5" w:themeShade="BF"/>
          <w:sz w:val="28"/>
          <w:szCs w:val="28"/>
        </w:rPr>
        <w:t>Series of Webinars on selected SDG Indicators for the Arab Region:</w:t>
      </w:r>
    </w:p>
    <w:p w14:paraId="4586EE5C" w14:textId="77777777" w:rsidR="003048AC" w:rsidRPr="003048AC" w:rsidRDefault="003048AC" w:rsidP="003048AC">
      <w:pPr>
        <w:jc w:val="center"/>
        <w:rPr>
          <w:color w:val="2E74B5" w:themeColor="accent5" w:themeShade="BF"/>
          <w:sz w:val="28"/>
          <w:szCs w:val="28"/>
        </w:rPr>
      </w:pPr>
    </w:p>
    <w:p w14:paraId="64731AE8" w14:textId="77777777" w:rsidR="003048AC" w:rsidRPr="003048AC" w:rsidRDefault="003048AC" w:rsidP="003048AC">
      <w:pPr>
        <w:jc w:val="center"/>
        <w:rPr>
          <w:color w:val="2E74B5" w:themeColor="accent5" w:themeShade="BF"/>
          <w:sz w:val="28"/>
          <w:szCs w:val="28"/>
        </w:rPr>
      </w:pPr>
      <w:r w:rsidRPr="003048AC">
        <w:rPr>
          <w:color w:val="2E74B5" w:themeColor="accent5" w:themeShade="BF"/>
          <w:sz w:val="28"/>
          <w:szCs w:val="28"/>
        </w:rPr>
        <w:t>An Interagency and Experts Collaboration to Improve the Production and Dissemination of SDG Indicators from Official National Sources</w:t>
      </w:r>
    </w:p>
    <w:p w14:paraId="43EE40D9" w14:textId="2C6A07D2" w:rsidR="00EE0FFE" w:rsidRPr="003048AC" w:rsidRDefault="00EE0FFE" w:rsidP="003048AC">
      <w:pPr>
        <w:jc w:val="center"/>
        <w:rPr>
          <w:i/>
          <w:iCs/>
          <w:color w:val="2E74B5" w:themeColor="accent5" w:themeShade="BF"/>
        </w:rPr>
      </w:pPr>
      <w:r w:rsidRPr="003048AC">
        <w:rPr>
          <w:i/>
          <w:iCs/>
          <w:color w:val="2E74B5" w:themeColor="accent5" w:themeShade="BF"/>
        </w:rPr>
        <w:t>20 of April</w:t>
      </w:r>
    </w:p>
    <w:p w14:paraId="4AD5AF3D" w14:textId="77777777" w:rsidR="00AF627B" w:rsidRPr="0024391A" w:rsidRDefault="00AF627B" w:rsidP="00AF627B">
      <w:pPr>
        <w:jc w:val="center"/>
        <w:rPr>
          <w:b/>
          <w:bCs/>
          <w:sz w:val="24"/>
          <w:szCs w:val="24"/>
        </w:rPr>
      </w:pPr>
      <w:r w:rsidRPr="0024391A">
        <w:rPr>
          <w:b/>
          <w:bCs/>
          <w:sz w:val="24"/>
          <w:szCs w:val="24"/>
        </w:rPr>
        <w:t>Concept Note</w:t>
      </w:r>
    </w:p>
    <w:p w14:paraId="02BBC252" w14:textId="77777777" w:rsidR="00566860" w:rsidRPr="00566860" w:rsidRDefault="00566860" w:rsidP="00566860">
      <w:pPr>
        <w:rPr>
          <w:b/>
          <w:bCs/>
        </w:rPr>
      </w:pPr>
    </w:p>
    <w:p w14:paraId="6963A431" w14:textId="77777777" w:rsidR="00C3075C" w:rsidRPr="00F8206D" w:rsidRDefault="00C3075C" w:rsidP="00C3075C">
      <w:pPr>
        <w:rPr>
          <w:color w:val="2E74B5" w:themeColor="accent5" w:themeShade="BF"/>
        </w:rPr>
      </w:pPr>
      <w:r w:rsidRPr="00F8206D">
        <w:rPr>
          <w:color w:val="2E74B5" w:themeColor="accent5" w:themeShade="BF"/>
        </w:rPr>
        <w:t>B</w:t>
      </w:r>
      <w:r>
        <w:rPr>
          <w:color w:val="2E74B5" w:themeColor="accent5" w:themeShade="BF"/>
        </w:rPr>
        <w:t>ACKGROUND</w:t>
      </w:r>
    </w:p>
    <w:p w14:paraId="18E5B44F" w14:textId="77777777" w:rsidR="00F41DCF" w:rsidRDefault="00F41DCF" w:rsidP="00F41DCF">
      <w:pPr>
        <w:jc w:val="both"/>
      </w:pPr>
      <w:r>
        <w:t xml:space="preserve">In September 2015, the United Nations General Assembly adopted by consensus Resolution 70/1: Transforming our world: the 2030 Agenda for Sustainable Development (the 2030 Agenda). The Resolution reaffirms the need for the strengthening of national data systems through “collaboration between national statistical systems and the relevant international and regional organizations to enhance data reporting channels and ensure the harmonization and consistency of data and statistics for the indicators used to follow up and review the Sustainable Development Goals and targets”.  </w:t>
      </w:r>
    </w:p>
    <w:p w14:paraId="3F42F9DD" w14:textId="77777777" w:rsidR="00F41DCF" w:rsidRDefault="00F41DCF" w:rsidP="00F41DCF">
      <w:pPr>
        <w:jc w:val="both"/>
      </w:pPr>
      <w:r>
        <w:t>The resolution also urges countries, the specialized agencies, the regional commissions, and the Bretton Woods institutions among others “to intensify their support for strengthening data collection and statistical capacity-building, including capacity-building that strengthens coordination among national statistical offices”. Moreover, the resolution “Urges international organizations to base the global review on data produced by national statistical systems and, if specific country data are not available for reliable estimation, to consult with concerned countries to produce and validate modelled estimates before publication, urges that communication and coordination among international organizations be enhanced in order to avoid duplicate reports, ensure consistency of data and reduce response burdens on countries, and urges international organizations to provide the methodologies used to harmonize country data for international comparability and produce estimates through transparent mechanisms;”</w:t>
      </w:r>
    </w:p>
    <w:p w14:paraId="077871D9" w14:textId="77777777" w:rsidR="00F41DCF" w:rsidRDefault="00F41DCF" w:rsidP="00F41DCF">
      <w:pPr>
        <w:jc w:val="both"/>
      </w:pPr>
      <w:r>
        <w:t xml:space="preserve">Five years after the adoption of the 2030 Agenda several countries are facing considerable challenges in monitoring targets in many policy areas. The current COVID-19 pandemic highlights the value of measuring and monitoring: no strategy can be developed, and no measure can be implemented without a proper monitoring and evaluation system.  </w:t>
      </w:r>
    </w:p>
    <w:p w14:paraId="32B44E27" w14:textId="77777777" w:rsidR="00F41DCF" w:rsidRDefault="00F41DCF" w:rsidP="00F41DCF">
      <w:pPr>
        <w:jc w:val="both"/>
      </w:pPr>
      <w:r>
        <w:t xml:space="preserve">Many countries in the Arab region are reporting on SDG indicators, however, reporting on progress on many of the SDG indicators, remains limited in the region. Insufficient availability and quality of statistical information on SDG indicators hamper the capacity of policymakers to generate evidence-based and effective policy responses and implement the 2030 Agenda.  </w:t>
      </w:r>
    </w:p>
    <w:p w14:paraId="4A26EA1C" w14:textId="77777777" w:rsidR="00F41DCF" w:rsidRPr="007055BC" w:rsidRDefault="00F41DCF" w:rsidP="00F41DCF">
      <w:pPr>
        <w:jc w:val="both"/>
        <w:rPr>
          <w:color w:val="A37A37"/>
        </w:rPr>
      </w:pPr>
      <w:proofErr w:type="gramStart"/>
      <w:r>
        <w:lastRenderedPageBreak/>
        <w:t>Translating these recommendations and resolutions into tangible results is imperative and will require intensive collaboration at the national, regional and global levels.</w:t>
      </w:r>
      <w:proofErr w:type="gramEnd"/>
      <w:r>
        <w:t xml:space="preserve"> Regional Commissions’ Statistical bodies “are the nexus between the Statistical Commission at the global level and the implementation at the national level of the norms endorsed by the Commission. In the context of the 2030 Agenda, the support provided by the regional commissions to assist Member States in adapting, implementing and measuring progress towards the implementation of national development plans is of particular significance as it influences the quality of statistics and methodologies used, as well as the use of new and innovative methodologies and sources of data, known as the transformative agenda for official statistics. The regional commissions carry out activities to strengthen the capacity of Member States to produce, use and dissemination official statistics and also provide a regional platform for sharing experiences and practices in statistics </w:t>
      </w:r>
      <w:proofErr w:type="gramStart"/>
      <w:r>
        <w:t>work</w:t>
      </w:r>
      <w:r>
        <w:rPr>
          <w:vertAlign w:val="superscript"/>
        </w:rPr>
        <w:footnoteReference w:customMarkFollows="1" w:id="1"/>
        <w:t>[</w:t>
      </w:r>
      <w:proofErr w:type="gramEnd"/>
      <w:r>
        <w:rPr>
          <w:vertAlign w:val="superscript"/>
        </w:rPr>
        <w:t>1]</w:t>
      </w:r>
      <w:r>
        <w:t>.”</w:t>
      </w:r>
    </w:p>
    <w:p w14:paraId="51F01A00" w14:textId="77777777" w:rsidR="00F41DCF" w:rsidRDefault="00F41DCF" w:rsidP="00F41DCF"/>
    <w:p w14:paraId="0D96528F" w14:textId="79CFAB4E" w:rsidR="00566860" w:rsidRPr="00566860" w:rsidRDefault="00F41DCF" w:rsidP="00F41DCF">
      <w:pPr>
        <w:jc w:val="both"/>
      </w:pPr>
      <w:r>
        <w:t xml:space="preserve">In this context, the Economic and Social Commission for Western Asia (ESCWA) implemented an </w:t>
      </w:r>
      <w:bookmarkStart w:id="1" w:name="_Hlk67661031"/>
      <w:r>
        <w:t>assessment on availability of country data in the UNSD SDG Global database to identify those less reported by countries and/or less understood by national statistical offices</w:t>
      </w:r>
      <w:bookmarkEnd w:id="1"/>
      <w:r>
        <w:t xml:space="preserve">, and more estimated by UN Agencies or not reported on. Based on the assessment results, ESCWA in collaboration with relevant custodian agencies will organize virtual capacity development workshops on selected indicators for Arab countries to improve the production and dissemination of SDG indicators from official national sources. </w:t>
      </w:r>
      <w:r w:rsidR="00566860" w:rsidRPr="00566860">
        <w:t>ESCWA, UN-Habitat and World Bank met on 12 March to discuss the organization of a joint webinar to build capacities of Arab countries to produce the following indicators:</w:t>
      </w:r>
    </w:p>
    <w:p w14:paraId="0202003D" w14:textId="76E11177" w:rsidR="005E21F2" w:rsidRDefault="005E21F2" w:rsidP="005E21F2">
      <w:pPr>
        <w:pStyle w:val="Caption"/>
        <w:keepNext/>
      </w:pPr>
    </w:p>
    <w:tbl>
      <w:tblPr>
        <w:tblStyle w:val="TableGrid"/>
        <w:tblW w:w="0" w:type="auto"/>
        <w:tblInd w:w="-5" w:type="dxa"/>
        <w:tblLook w:val="04A0" w:firstRow="1" w:lastRow="0" w:firstColumn="1" w:lastColumn="0" w:noHBand="0" w:noVBand="1"/>
      </w:tblPr>
      <w:tblGrid>
        <w:gridCol w:w="4315"/>
        <w:gridCol w:w="2430"/>
        <w:gridCol w:w="2245"/>
      </w:tblGrid>
      <w:tr w:rsidR="00566860" w:rsidRPr="00566860" w14:paraId="7A09D318" w14:textId="77777777" w:rsidTr="00C3075C">
        <w:tc>
          <w:tcPr>
            <w:tcW w:w="4315" w:type="dxa"/>
          </w:tcPr>
          <w:p w14:paraId="59BD547E" w14:textId="77777777" w:rsidR="00566860" w:rsidRPr="00566860" w:rsidRDefault="00566860" w:rsidP="00566860">
            <w:pPr>
              <w:spacing w:after="160" w:line="259" w:lineRule="auto"/>
            </w:pPr>
            <w:r w:rsidRPr="00566860">
              <w:t>Indicators</w:t>
            </w:r>
          </w:p>
        </w:tc>
        <w:tc>
          <w:tcPr>
            <w:tcW w:w="2430" w:type="dxa"/>
          </w:tcPr>
          <w:p w14:paraId="4F5F5E7B" w14:textId="2F2401B9" w:rsidR="00566860" w:rsidRPr="00566860" w:rsidRDefault="00566860" w:rsidP="00566860">
            <w:pPr>
              <w:spacing w:after="160" w:line="259" w:lineRule="auto"/>
            </w:pPr>
            <w:r w:rsidRPr="00566860">
              <w:t xml:space="preserve">Number of </w:t>
            </w:r>
            <w:r w:rsidR="00AE35B1">
              <w:t xml:space="preserve">Arab </w:t>
            </w:r>
            <w:r w:rsidRPr="00566860">
              <w:t>countries providing data (C-CA)</w:t>
            </w:r>
          </w:p>
        </w:tc>
        <w:tc>
          <w:tcPr>
            <w:tcW w:w="2245" w:type="dxa"/>
          </w:tcPr>
          <w:p w14:paraId="18B8866D" w14:textId="0AE285F1" w:rsidR="00566860" w:rsidRPr="00566860" w:rsidRDefault="00566860" w:rsidP="00566860">
            <w:pPr>
              <w:spacing w:after="160" w:line="259" w:lineRule="auto"/>
            </w:pPr>
            <w:r w:rsidRPr="00566860">
              <w:t xml:space="preserve">Number of </w:t>
            </w:r>
            <w:r w:rsidR="00AE35B1">
              <w:t xml:space="preserve">Arab </w:t>
            </w:r>
            <w:r w:rsidRPr="00566860">
              <w:t>countries for which the data have been estimated (E-M-N-NA)</w:t>
            </w:r>
          </w:p>
        </w:tc>
      </w:tr>
      <w:tr w:rsidR="00566860" w:rsidRPr="00566860" w14:paraId="0DC60E38" w14:textId="77777777" w:rsidTr="00C3075C">
        <w:tc>
          <w:tcPr>
            <w:tcW w:w="4315" w:type="dxa"/>
          </w:tcPr>
          <w:p w14:paraId="65F43534" w14:textId="77777777" w:rsidR="00566860" w:rsidRPr="00566860" w:rsidRDefault="00566860" w:rsidP="00566860">
            <w:pPr>
              <w:spacing w:after="160" w:line="259" w:lineRule="auto"/>
            </w:pPr>
            <w:r w:rsidRPr="00566860">
              <w:t>1.4.2 Proportion of total adult population with secure tenure rights to land, (a) with legally recognized documentation, and (b) who perceive their rights to land as secure, by sex and type of tenure</w:t>
            </w:r>
          </w:p>
        </w:tc>
        <w:tc>
          <w:tcPr>
            <w:tcW w:w="2430" w:type="dxa"/>
          </w:tcPr>
          <w:p w14:paraId="64AA04E6" w14:textId="77777777" w:rsidR="00566860" w:rsidRPr="00566860" w:rsidRDefault="00566860" w:rsidP="00566860">
            <w:pPr>
              <w:spacing w:after="160" w:line="259" w:lineRule="auto"/>
            </w:pPr>
            <w:r w:rsidRPr="00566860">
              <w:t>0</w:t>
            </w:r>
          </w:p>
        </w:tc>
        <w:tc>
          <w:tcPr>
            <w:tcW w:w="2245" w:type="dxa"/>
          </w:tcPr>
          <w:p w14:paraId="698AD2CE" w14:textId="77777777" w:rsidR="00566860" w:rsidRPr="00566860" w:rsidRDefault="00566860" w:rsidP="00566860">
            <w:pPr>
              <w:spacing w:after="160" w:line="259" w:lineRule="auto"/>
            </w:pPr>
            <w:r w:rsidRPr="00566860">
              <w:t>0</w:t>
            </w:r>
          </w:p>
        </w:tc>
      </w:tr>
      <w:tr w:rsidR="00566860" w:rsidRPr="00566860" w14:paraId="6AF1BEC1" w14:textId="77777777" w:rsidTr="00C3075C">
        <w:tc>
          <w:tcPr>
            <w:tcW w:w="4315" w:type="dxa"/>
          </w:tcPr>
          <w:p w14:paraId="021C249B" w14:textId="77777777" w:rsidR="00566860" w:rsidRPr="00566860" w:rsidRDefault="00566860" w:rsidP="00566860">
            <w:pPr>
              <w:spacing w:after="160" w:line="259" w:lineRule="auto"/>
            </w:pPr>
            <w:r w:rsidRPr="00566860">
              <w:t>5.a.1 (a) Proportion of total agricultural population with ownership or secure rights over agricultural land, by sex; and (b) share of women among owners or rights-bearers of agricultural land, by type of tenure</w:t>
            </w:r>
          </w:p>
        </w:tc>
        <w:tc>
          <w:tcPr>
            <w:tcW w:w="2430" w:type="dxa"/>
          </w:tcPr>
          <w:p w14:paraId="0CB512DF" w14:textId="77777777" w:rsidR="00566860" w:rsidRPr="00566860" w:rsidRDefault="00566860" w:rsidP="00566860">
            <w:pPr>
              <w:spacing w:after="160" w:line="259" w:lineRule="auto"/>
            </w:pPr>
            <w:r w:rsidRPr="00566860">
              <w:t>0</w:t>
            </w:r>
          </w:p>
        </w:tc>
        <w:tc>
          <w:tcPr>
            <w:tcW w:w="2245" w:type="dxa"/>
          </w:tcPr>
          <w:p w14:paraId="19A1B036" w14:textId="6A872279" w:rsidR="00566860" w:rsidRPr="00566860" w:rsidRDefault="00566860" w:rsidP="00566860">
            <w:pPr>
              <w:spacing w:after="160" w:line="259" w:lineRule="auto"/>
            </w:pPr>
            <w:r w:rsidRPr="00566860">
              <w:t>0</w:t>
            </w:r>
          </w:p>
        </w:tc>
      </w:tr>
    </w:tbl>
    <w:p w14:paraId="1174C13E" w14:textId="159AF257" w:rsidR="00C3075C" w:rsidRDefault="00C3075C" w:rsidP="00C3075C">
      <w:pPr>
        <w:pStyle w:val="Caption"/>
        <w:rPr>
          <w:u w:val="single"/>
        </w:rPr>
      </w:pPr>
      <w:bookmarkStart w:id="2" w:name="_Hlk68674090"/>
      <w:r w:rsidRPr="00457752">
        <w:t>C: country data, CA: country adjusted data, E: estimated data, G: global monitoring data, M: modeled data, N:</w:t>
      </w:r>
      <w:r>
        <w:t xml:space="preserve"> </w:t>
      </w:r>
      <w:r w:rsidRPr="00457752">
        <w:t>non-relevant data, NA:</w:t>
      </w:r>
      <w:r>
        <w:t xml:space="preserve"> </w:t>
      </w:r>
      <w:r w:rsidRPr="00457752">
        <w:t>data nature not available</w:t>
      </w:r>
      <w:bookmarkEnd w:id="2"/>
    </w:p>
    <w:p w14:paraId="4A56982B" w14:textId="5B4E4556" w:rsidR="00CC0C0B" w:rsidRPr="00CF1629" w:rsidRDefault="00CF1629" w:rsidP="00F959ED">
      <w:pPr>
        <w:spacing w:line="240" w:lineRule="auto"/>
        <w:jc w:val="both"/>
      </w:pPr>
      <w:bookmarkStart w:id="3" w:name="_Hlk68674122"/>
      <w:r w:rsidRPr="004421B7">
        <w:rPr>
          <w:b/>
          <w:bCs/>
        </w:rPr>
        <w:lastRenderedPageBreak/>
        <w:t>Notes</w:t>
      </w:r>
      <w:r>
        <w:t xml:space="preserve">: </w:t>
      </w:r>
      <w:r w:rsidR="004421B7">
        <w:t xml:space="preserve">Data are collected by </w:t>
      </w:r>
      <w:r>
        <w:t>Egypt</w:t>
      </w:r>
      <w:r w:rsidR="004421B7">
        <w:t xml:space="preserve"> (Census)</w:t>
      </w:r>
      <w:r>
        <w:t>, Qatar</w:t>
      </w:r>
      <w:r w:rsidR="004421B7">
        <w:t xml:space="preserve"> (Ministry of Justice)</w:t>
      </w:r>
      <w:r>
        <w:t xml:space="preserve"> and Jordan</w:t>
      </w:r>
      <w:r w:rsidR="004421B7">
        <w:t xml:space="preserve"> (Agriculture Census)</w:t>
      </w:r>
      <w:r>
        <w:t xml:space="preserve">. </w:t>
      </w:r>
    </w:p>
    <w:p w14:paraId="5A9475C8" w14:textId="609B8BFF" w:rsidR="00C3075C" w:rsidRPr="00F8206D" w:rsidRDefault="00C3075C" w:rsidP="00F959ED">
      <w:pPr>
        <w:spacing w:line="240" w:lineRule="auto"/>
        <w:jc w:val="both"/>
        <w:rPr>
          <w:color w:val="2E74B5" w:themeColor="accent5" w:themeShade="BF"/>
        </w:rPr>
      </w:pPr>
      <w:r>
        <w:rPr>
          <w:color w:val="2E74B5" w:themeColor="accent5" w:themeShade="BF"/>
        </w:rPr>
        <w:t>OBJECTIVE</w:t>
      </w:r>
    </w:p>
    <w:p w14:paraId="13BFAF6F" w14:textId="77777777" w:rsidR="0078349C" w:rsidRDefault="0078349C" w:rsidP="0078349C">
      <w:pPr>
        <w:contextualSpacing/>
      </w:pPr>
      <w:r w:rsidRPr="00361B2D">
        <w:t>The United Nations Economic and Social Commission for Western Asia (UN ESCWA ), in collaboration with UN Agencies, custodians of SDG indicators, is organizing a series of webinars  on selected SDG indicators that are less produced in the Arab region to create a common understanding among data producers on how to collect, measure and disseminate SDG indicators to increase data production and enhance national data flow to policy makers, other users and custodian agencies.</w:t>
      </w:r>
      <w:r w:rsidRPr="00705CDF">
        <w:t xml:space="preserve"> </w:t>
      </w:r>
    </w:p>
    <w:p w14:paraId="3BBA01E7" w14:textId="77777777" w:rsidR="0078349C" w:rsidRDefault="0078349C" w:rsidP="0078349C">
      <w:pPr>
        <w:contextualSpacing/>
        <w:jc w:val="both"/>
      </w:pPr>
    </w:p>
    <w:p w14:paraId="69E7C6D1" w14:textId="77777777" w:rsidR="0078349C" w:rsidRPr="00361B2D" w:rsidRDefault="0078349C" w:rsidP="0078349C">
      <w:pPr>
        <w:contextualSpacing/>
      </w:pPr>
      <w:r w:rsidRPr="00361B2D">
        <w:t xml:space="preserve">The main objectives of the regional training are:  </w:t>
      </w:r>
    </w:p>
    <w:p w14:paraId="7BC34033" w14:textId="77777777" w:rsidR="0078349C" w:rsidRPr="00361B2D" w:rsidRDefault="0078349C" w:rsidP="0078349C">
      <w:pPr>
        <w:pStyle w:val="ListParagraph"/>
        <w:numPr>
          <w:ilvl w:val="0"/>
          <w:numId w:val="4"/>
        </w:numPr>
        <w:spacing w:after="160" w:line="259" w:lineRule="auto"/>
        <w:jc w:val="both"/>
      </w:pPr>
      <w:r w:rsidRPr="00361B2D">
        <w:t>Enhancing understanding of metadata.</w:t>
      </w:r>
    </w:p>
    <w:p w14:paraId="0C82E389" w14:textId="77777777" w:rsidR="0078349C" w:rsidRPr="00361B2D" w:rsidRDefault="0078349C" w:rsidP="0078349C">
      <w:pPr>
        <w:pStyle w:val="ListParagraph"/>
        <w:numPr>
          <w:ilvl w:val="0"/>
          <w:numId w:val="4"/>
        </w:numPr>
        <w:spacing w:after="160" w:line="259" w:lineRule="auto"/>
        <w:jc w:val="both"/>
      </w:pPr>
      <w:r w:rsidRPr="00361B2D">
        <w:t>Improving statistical capacities to invigorate production and use of comparable SDG indicators.</w:t>
      </w:r>
    </w:p>
    <w:p w14:paraId="145FADC1" w14:textId="77777777" w:rsidR="0078349C" w:rsidRPr="00361B2D" w:rsidRDefault="0078349C" w:rsidP="0078349C">
      <w:pPr>
        <w:pStyle w:val="ListParagraph"/>
        <w:numPr>
          <w:ilvl w:val="0"/>
          <w:numId w:val="4"/>
        </w:numPr>
        <w:spacing w:after="160" w:line="259" w:lineRule="auto"/>
        <w:jc w:val="both"/>
      </w:pPr>
      <w:r w:rsidRPr="00361B2D">
        <w:t xml:space="preserve">Strengthening inter-institutional coordination to invigorate production of SDG indicators </w:t>
      </w:r>
      <w:bookmarkStart w:id="4" w:name="_Hlk69192688"/>
      <w:r w:rsidRPr="00361B2D">
        <w:t>and data flow.</w:t>
      </w:r>
    </w:p>
    <w:p w14:paraId="68CC93BF" w14:textId="0C57A67E" w:rsidR="00C3075C" w:rsidRPr="0078349C" w:rsidRDefault="0078349C" w:rsidP="0078349C">
      <w:pPr>
        <w:pStyle w:val="ListParagraph"/>
        <w:numPr>
          <w:ilvl w:val="0"/>
          <w:numId w:val="4"/>
        </w:numPr>
        <w:spacing w:after="160" w:line="259" w:lineRule="auto"/>
        <w:jc w:val="both"/>
      </w:pPr>
      <w:r w:rsidRPr="00361B2D">
        <w:t>Sharing and discussing country challenges in measuring SDG indicators</w:t>
      </w:r>
      <w:r>
        <w:t>.</w:t>
      </w:r>
      <w:r w:rsidRPr="00361B2D">
        <w:t xml:space="preserve"> </w:t>
      </w:r>
      <w:bookmarkEnd w:id="4"/>
    </w:p>
    <w:p w14:paraId="0B4D088A" w14:textId="00B073D0" w:rsidR="00C3075C" w:rsidRPr="0078349C" w:rsidRDefault="004421B7" w:rsidP="0078349C">
      <w:pPr>
        <w:rPr>
          <w:color w:val="2E74B5" w:themeColor="accent5" w:themeShade="BF"/>
        </w:rPr>
      </w:pPr>
      <w:r>
        <w:rPr>
          <w:color w:val="2E74B5" w:themeColor="accent5" w:themeShade="BF"/>
        </w:rPr>
        <w:br w:type="page"/>
      </w:r>
      <w:r w:rsidR="00C3075C" w:rsidRPr="00847FCC">
        <w:rPr>
          <w:color w:val="2E74B5" w:themeColor="accent5" w:themeShade="BF"/>
        </w:rPr>
        <w:lastRenderedPageBreak/>
        <w:t>TARGET AUDIENCE</w:t>
      </w:r>
    </w:p>
    <w:p w14:paraId="254D5D2B" w14:textId="77777777" w:rsidR="00C3075C" w:rsidRPr="00A561E1" w:rsidRDefault="00C3075C" w:rsidP="00F959ED">
      <w:pPr>
        <w:spacing w:line="240" w:lineRule="auto"/>
        <w:jc w:val="both"/>
      </w:pPr>
      <w:r w:rsidRPr="00705CDF">
        <w:t xml:space="preserve">All </w:t>
      </w:r>
      <w:r>
        <w:t>producers of official statistics in the Arab countries</w:t>
      </w:r>
      <w:r w:rsidRPr="00705CDF">
        <w:t xml:space="preserve"> are welcome</w:t>
      </w:r>
      <w:r>
        <w:t>d</w:t>
      </w:r>
      <w:r w:rsidRPr="00705CDF">
        <w:t xml:space="preserve"> to participate. This includes representatives from </w:t>
      </w:r>
      <w:r>
        <w:t xml:space="preserve">national statistical systems, </w:t>
      </w:r>
      <w:r w:rsidRPr="00705CDF">
        <w:t xml:space="preserve">national institutions, </w:t>
      </w:r>
      <w:r>
        <w:t xml:space="preserve">and other </w:t>
      </w:r>
      <w:r w:rsidRPr="00705CDF">
        <w:t xml:space="preserve">relevant national entities. </w:t>
      </w:r>
      <w:r>
        <w:t xml:space="preserve">In addition, policymakers, researchers, and other partners may also participate. </w:t>
      </w:r>
    </w:p>
    <w:p w14:paraId="34286C81" w14:textId="77777777" w:rsidR="00C3075C" w:rsidRDefault="00C3075C" w:rsidP="00F959ED">
      <w:pPr>
        <w:spacing w:line="240" w:lineRule="auto"/>
        <w:jc w:val="both"/>
        <w:rPr>
          <w:color w:val="2E74B5" w:themeColor="accent5" w:themeShade="BF"/>
        </w:rPr>
      </w:pPr>
    </w:p>
    <w:p w14:paraId="4A935092" w14:textId="7AAF5A4E" w:rsidR="00C3075C" w:rsidRPr="00E86F6B" w:rsidRDefault="00C3075C" w:rsidP="00F959ED">
      <w:pPr>
        <w:spacing w:line="240" w:lineRule="auto"/>
        <w:jc w:val="both"/>
      </w:pPr>
      <w:r>
        <w:rPr>
          <w:color w:val="2E74B5" w:themeColor="accent5" w:themeShade="BF"/>
        </w:rPr>
        <w:t>OUTCOME</w:t>
      </w:r>
      <w:r>
        <w:br/>
        <w:t>T</w:t>
      </w:r>
      <w:r w:rsidRPr="00705CDF">
        <w:t>he training will familiarize relevant stakeholders with the concepts, international standards, methodological tools, as well as an understanding of the challenge</w:t>
      </w:r>
      <w:r>
        <w:t xml:space="preserve">s faced </w:t>
      </w:r>
      <w:r w:rsidRPr="00705CDF">
        <w:t>to measure SDG indicators</w:t>
      </w:r>
      <w:r>
        <w:t xml:space="preserve">. </w:t>
      </w:r>
      <w:r w:rsidRPr="00A561E1">
        <w:t>T</w:t>
      </w:r>
      <w:r>
        <w:t xml:space="preserve">he outcome of the series of training will facilitate the </w:t>
      </w:r>
      <w:r w:rsidRPr="00A561E1">
        <w:t>develop</w:t>
      </w:r>
      <w:r>
        <w:t xml:space="preserve">ment of </w:t>
      </w:r>
      <w:r w:rsidRPr="00A561E1">
        <w:t>regional guidelines and recommendations to improve the production and dissemination of SDG Indicators</w:t>
      </w:r>
      <w:r>
        <w:t>.</w:t>
      </w:r>
    </w:p>
    <w:p w14:paraId="1086BE5E" w14:textId="77777777" w:rsidR="00C3075C" w:rsidRDefault="00C3075C" w:rsidP="00F959ED">
      <w:pPr>
        <w:spacing w:line="240" w:lineRule="auto"/>
        <w:jc w:val="both"/>
        <w:rPr>
          <w:color w:val="2E74B5" w:themeColor="accent5" w:themeShade="BF"/>
        </w:rPr>
      </w:pPr>
    </w:p>
    <w:p w14:paraId="2661E0CC" w14:textId="2031C98A" w:rsidR="00C3075C" w:rsidRDefault="00C3075C" w:rsidP="00F959ED">
      <w:pPr>
        <w:spacing w:line="240" w:lineRule="auto"/>
        <w:jc w:val="both"/>
      </w:pPr>
      <w:r w:rsidRPr="00847FCC">
        <w:rPr>
          <w:color w:val="2E74B5" w:themeColor="accent5" w:themeShade="BF"/>
        </w:rPr>
        <w:t>SCHEDULE</w:t>
      </w:r>
      <w:r>
        <w:br/>
      </w:r>
      <w:r w:rsidRPr="00847FCC">
        <w:t xml:space="preserve">The </w:t>
      </w:r>
      <w:r>
        <w:t>r</w:t>
      </w:r>
      <w:r w:rsidRPr="00847FCC">
        <w:t xml:space="preserve">egional training will be held </w:t>
      </w:r>
      <w:r>
        <w:t>on the 20</w:t>
      </w:r>
      <w:r w:rsidRPr="00C3075C">
        <w:rPr>
          <w:vertAlign w:val="superscript"/>
        </w:rPr>
        <w:t>th</w:t>
      </w:r>
      <w:r>
        <w:t xml:space="preserve"> of April</w:t>
      </w:r>
      <w:r w:rsidR="000574D5">
        <w:t xml:space="preserve"> 2021 from 10:00 a.m. to 1:00 p.m</w:t>
      </w:r>
      <w:r>
        <w:t>. (see Proposed Agenda)</w:t>
      </w:r>
    </w:p>
    <w:p w14:paraId="2496829F" w14:textId="77777777" w:rsidR="004421B7" w:rsidRDefault="004421B7" w:rsidP="00F959ED">
      <w:pPr>
        <w:spacing w:line="240" w:lineRule="auto"/>
        <w:jc w:val="both"/>
        <w:rPr>
          <w:color w:val="2E74B5" w:themeColor="accent5" w:themeShade="BF"/>
        </w:rPr>
      </w:pPr>
    </w:p>
    <w:p w14:paraId="362F4E80" w14:textId="4BC01FF3" w:rsidR="00C3075C" w:rsidRPr="00C3075C" w:rsidRDefault="00C3075C" w:rsidP="00F959ED">
      <w:pPr>
        <w:spacing w:line="240" w:lineRule="auto"/>
        <w:jc w:val="both"/>
        <w:rPr>
          <w:color w:val="2E74B5" w:themeColor="accent5" w:themeShade="BF"/>
        </w:rPr>
      </w:pPr>
      <w:r w:rsidRPr="00847FCC">
        <w:rPr>
          <w:color w:val="2E74B5" w:themeColor="accent5" w:themeShade="BF"/>
        </w:rPr>
        <w:t>FORMA</w:t>
      </w:r>
      <w:r w:rsidRPr="00A561E1">
        <w:rPr>
          <w:color w:val="2E74B5" w:themeColor="accent5" w:themeShade="BF"/>
        </w:rPr>
        <w:t>T</w:t>
      </w:r>
      <w:r>
        <w:rPr>
          <w:color w:val="2E74B5" w:themeColor="accent5" w:themeShade="BF"/>
        </w:rPr>
        <w:br/>
      </w:r>
      <w:r w:rsidRPr="000E296B">
        <w:t xml:space="preserve">The </w:t>
      </w:r>
      <w:r>
        <w:t xml:space="preserve">meetings </w:t>
      </w:r>
      <w:r w:rsidRPr="000E296B">
        <w:t xml:space="preserve">will be held via </w:t>
      </w:r>
      <w:r>
        <w:t>Zoom</w:t>
      </w:r>
      <w:r w:rsidRPr="000E296B">
        <w:t xml:space="preserve">. Facilitation of the workshops will be held in </w:t>
      </w:r>
      <w:r>
        <w:t>Arabic/English with simultaneous interpretation in both languages</w:t>
      </w:r>
      <w:r w:rsidRPr="000E296B">
        <w:t xml:space="preserve">.  </w:t>
      </w:r>
    </w:p>
    <w:p w14:paraId="4FE352A6" w14:textId="36B5DBC3" w:rsidR="00C3075C" w:rsidRDefault="00C3075C" w:rsidP="00F959ED">
      <w:pPr>
        <w:spacing w:line="240" w:lineRule="auto"/>
        <w:jc w:val="both"/>
      </w:pPr>
      <w:r w:rsidRPr="000E296B">
        <w:t xml:space="preserve">The training will encourage interactive dialogue </w:t>
      </w:r>
      <w:r>
        <w:t>and p</w:t>
      </w:r>
      <w:r w:rsidRPr="000E296B">
        <w:t xml:space="preserve">articipants </w:t>
      </w:r>
      <w:proofErr w:type="gramStart"/>
      <w:r>
        <w:t>will be invited</w:t>
      </w:r>
      <w:proofErr w:type="gramEnd"/>
      <w:r>
        <w:t xml:space="preserve"> to </w:t>
      </w:r>
      <w:r w:rsidRPr="000E296B">
        <w:t xml:space="preserve">share their national experiences in data collection </w:t>
      </w:r>
      <w:r>
        <w:t xml:space="preserve">including </w:t>
      </w:r>
      <w:r w:rsidRPr="000E296B">
        <w:t>challenges</w:t>
      </w:r>
      <w:r w:rsidR="00BC0274">
        <w:t>, queries</w:t>
      </w:r>
      <w:r w:rsidRPr="000E296B">
        <w:t xml:space="preserve"> and concerns. SDG data-related materials and resources will be </w:t>
      </w:r>
      <w:r>
        <w:t xml:space="preserve">shared with </w:t>
      </w:r>
      <w:r w:rsidRPr="000E296B">
        <w:t xml:space="preserve">participants before each session.  </w:t>
      </w:r>
    </w:p>
    <w:p w14:paraId="2D927A56" w14:textId="5B0F8067" w:rsidR="00C3075C" w:rsidRDefault="00C3075C" w:rsidP="00D935DB">
      <w:pPr>
        <w:spacing w:line="240" w:lineRule="auto"/>
      </w:pPr>
      <w:r w:rsidRPr="00847FCC">
        <w:rPr>
          <w:color w:val="2E74B5" w:themeColor="accent5" w:themeShade="BF"/>
        </w:rPr>
        <w:t>TRAINING</w:t>
      </w:r>
      <w:r w:rsidR="00D935DB">
        <w:rPr>
          <w:color w:val="2E74B5" w:themeColor="accent5" w:themeShade="BF"/>
        </w:rPr>
        <w:t xml:space="preserve"> </w:t>
      </w:r>
      <w:r w:rsidRPr="00847FCC">
        <w:rPr>
          <w:color w:val="2E74B5" w:themeColor="accent5" w:themeShade="BF"/>
        </w:rPr>
        <w:t>CERTIFICATION</w:t>
      </w:r>
      <w:r>
        <w:rPr>
          <w:color w:val="2E74B5" w:themeColor="accent5" w:themeShade="BF"/>
        </w:rPr>
        <w:br/>
      </w:r>
      <w:r>
        <w:t>P</w:t>
      </w:r>
      <w:r w:rsidRPr="000E296B">
        <w:t xml:space="preserve">articipants who </w:t>
      </w:r>
      <w:r w:rsidR="004A3273">
        <w:t>fully</w:t>
      </w:r>
      <w:r w:rsidRPr="000E296B">
        <w:t xml:space="preserve"> attend </w:t>
      </w:r>
      <w:r>
        <w:t>ESCWA SDG</w:t>
      </w:r>
      <w:r w:rsidRPr="000E296B">
        <w:t xml:space="preserve"> workshops will be awarded a training certificate by the organizers. </w:t>
      </w:r>
    </w:p>
    <w:p w14:paraId="1B4166D4" w14:textId="77777777" w:rsidR="00C3075C" w:rsidRDefault="00C3075C" w:rsidP="00F959ED">
      <w:pPr>
        <w:spacing w:line="240" w:lineRule="auto"/>
        <w:jc w:val="both"/>
        <w:rPr>
          <w:color w:val="2E74B5" w:themeColor="accent5" w:themeShade="BF"/>
        </w:rPr>
      </w:pPr>
    </w:p>
    <w:p w14:paraId="0C3BD6A6" w14:textId="35BFE874" w:rsidR="00C3075C" w:rsidRPr="00C3075C" w:rsidRDefault="00C3075C" w:rsidP="00F959ED">
      <w:pPr>
        <w:spacing w:line="240" w:lineRule="auto"/>
        <w:jc w:val="both"/>
        <w:rPr>
          <w:color w:val="2E74B5" w:themeColor="accent5" w:themeShade="BF"/>
        </w:rPr>
      </w:pPr>
      <w:r w:rsidRPr="00BB2046">
        <w:rPr>
          <w:color w:val="2E74B5" w:themeColor="accent5" w:themeShade="BF"/>
        </w:rPr>
        <w:t>REGISTRATION</w:t>
      </w:r>
      <w:bookmarkStart w:id="5" w:name="_Hlk68593326"/>
      <w:r>
        <w:rPr>
          <w:color w:val="2E74B5" w:themeColor="accent5" w:themeShade="BF"/>
        </w:rPr>
        <w:br/>
      </w:r>
      <w:r w:rsidRPr="004D7306">
        <w:t>To register for the Regional Training Series, please send your contact information (country, name, title</w:t>
      </w:r>
      <w:r>
        <w:t>/office</w:t>
      </w:r>
      <w:r w:rsidRPr="004D7306">
        <w:t xml:space="preserve">, email, and mobile) to Nadine Al-Hallak </w:t>
      </w:r>
      <w:hyperlink r:id="rId16" w:history="1">
        <w:r w:rsidRPr="004D7306">
          <w:rPr>
            <w:rStyle w:val="Hyperlink"/>
          </w:rPr>
          <w:t>al-hallak@un.org</w:t>
        </w:r>
      </w:hyperlink>
      <w:r w:rsidRPr="004D7306">
        <w:t xml:space="preserve"> </w:t>
      </w:r>
      <w:r>
        <w:t>in order to receive the links t</w:t>
      </w:r>
      <w:r w:rsidRPr="004D7306">
        <w:t>o the meetings</w:t>
      </w:r>
      <w:r>
        <w:t>.</w:t>
      </w:r>
      <w:bookmarkEnd w:id="5"/>
      <w:r>
        <w:t xml:space="preserve"> </w:t>
      </w:r>
    </w:p>
    <w:bookmarkEnd w:id="3"/>
    <w:p w14:paraId="425864EA" w14:textId="4374391B" w:rsidR="00C3075C" w:rsidRDefault="00C3075C" w:rsidP="00C3075C">
      <w:pPr>
        <w:spacing w:line="240" w:lineRule="auto"/>
      </w:pPr>
      <w:r w:rsidRPr="00C3075C">
        <w:rPr>
          <w:color w:val="2E74B5" w:themeColor="accent5" w:themeShade="BF"/>
        </w:rPr>
        <w:t>RESOURCES</w:t>
      </w:r>
    </w:p>
    <w:p w14:paraId="01C40211" w14:textId="57DC340A" w:rsidR="00C3075C" w:rsidRDefault="00105E5F" w:rsidP="00C3075C">
      <w:pPr>
        <w:rPr>
          <w:rStyle w:val="Hyperlink"/>
        </w:rPr>
      </w:pPr>
      <w:hyperlink r:id="rId17" w:history="1">
        <w:r w:rsidR="00C3075C" w:rsidRPr="00E1325B">
          <w:rPr>
            <w:rStyle w:val="Hyperlink"/>
          </w:rPr>
          <w:t>https://unhabitat.org/sites/default/files/documents/2019-08/190824_measuring_individuals_rights_to_land_publishing_web_0.pdf</w:t>
        </w:r>
      </w:hyperlink>
    </w:p>
    <w:p w14:paraId="04696694" w14:textId="73F9D807" w:rsidR="00A50852" w:rsidRDefault="00105E5F" w:rsidP="00A50852">
      <w:pPr>
        <w:rPr>
          <w:lang w:val="en-GB"/>
        </w:rPr>
      </w:pPr>
      <w:hyperlink r:id="rId18" w:history="1">
        <w:r w:rsidR="00A50852">
          <w:rPr>
            <w:rStyle w:val="Hyperlink"/>
            <w:lang w:val="en-GB"/>
          </w:rPr>
          <w:t>https://gltn.net/2019/08/27/measuring-individuals-rights-to-land/</w:t>
        </w:r>
      </w:hyperlink>
      <w:r w:rsidR="00A50852">
        <w:rPr>
          <w:lang w:val="en-GB"/>
        </w:rPr>
        <w:t xml:space="preserve"> </w:t>
      </w:r>
    </w:p>
    <w:p w14:paraId="52E16F9D" w14:textId="0E3F2DE6" w:rsidR="00D935DB" w:rsidRDefault="00105E5F" w:rsidP="00A50852">
      <w:pPr>
        <w:rPr>
          <w:rStyle w:val="Hyperlink"/>
          <w:lang w:val="en-GB"/>
        </w:rPr>
      </w:pPr>
      <w:hyperlink r:id="rId19" w:history="1">
        <w:r w:rsidR="00D935DB" w:rsidRPr="006C5E79">
          <w:rPr>
            <w:rStyle w:val="Hyperlink"/>
            <w:lang w:val="en-GB"/>
          </w:rPr>
          <w:t>https://www.unsdglearn.org/courses/sdg-indicator-5-a-1-equal-tenure-rights-for-women-on-agricultural-land-2/</w:t>
        </w:r>
      </w:hyperlink>
    </w:p>
    <w:p w14:paraId="28D07978" w14:textId="2E7F6910" w:rsidR="00B70791" w:rsidRDefault="00105E5F" w:rsidP="00A50852">
      <w:pPr>
        <w:rPr>
          <w:lang w:val="en-GB"/>
        </w:rPr>
      </w:pPr>
      <w:hyperlink r:id="rId20" w:history="1">
        <w:r w:rsidR="00B70791" w:rsidRPr="006C5E79">
          <w:rPr>
            <w:rStyle w:val="Hyperlink"/>
            <w:lang w:val="en-GB"/>
          </w:rPr>
          <w:t>https://unstats.un.org/sdgs/metadata/files/Metadata-01-04-02.pdf</w:t>
        </w:r>
      </w:hyperlink>
    </w:p>
    <w:p w14:paraId="468A2D5F" w14:textId="0D06E166" w:rsidR="00B70791" w:rsidRDefault="00105E5F" w:rsidP="00CC0C0B">
      <w:pPr>
        <w:rPr>
          <w:lang w:val="en-GB"/>
        </w:rPr>
      </w:pPr>
      <w:hyperlink r:id="rId21" w:history="1">
        <w:r w:rsidR="00B70791" w:rsidRPr="006C5E79">
          <w:rPr>
            <w:rStyle w:val="Hyperlink"/>
            <w:lang w:val="en-GB"/>
          </w:rPr>
          <w:t>https://unstats.un.org/sdgs/metadata/files/Metadata-05-0a-01.pdf</w:t>
        </w:r>
      </w:hyperlink>
    </w:p>
    <w:p w14:paraId="3EDC1A69" w14:textId="037E24D7" w:rsidR="00C3075C" w:rsidRDefault="00C3075C" w:rsidP="00C3075C">
      <w:pPr>
        <w:spacing w:line="240" w:lineRule="auto"/>
        <w:rPr>
          <w:color w:val="2E74B5" w:themeColor="accent5" w:themeShade="BF"/>
        </w:rPr>
      </w:pPr>
      <w:r>
        <w:rPr>
          <w:color w:val="2E74B5" w:themeColor="accent5" w:themeShade="BF"/>
        </w:rPr>
        <w:lastRenderedPageBreak/>
        <w:t>ORGANIZERS</w:t>
      </w:r>
    </w:p>
    <w:tbl>
      <w:tblPr>
        <w:tblStyle w:val="TableGrid"/>
        <w:tblW w:w="10060" w:type="dxa"/>
        <w:tblLayout w:type="fixed"/>
        <w:tblLook w:val="04A0" w:firstRow="1" w:lastRow="0" w:firstColumn="1" w:lastColumn="0" w:noHBand="0" w:noVBand="1"/>
      </w:tblPr>
      <w:tblGrid>
        <w:gridCol w:w="2263"/>
        <w:gridCol w:w="3222"/>
        <w:gridCol w:w="1881"/>
        <w:gridCol w:w="2694"/>
      </w:tblGrid>
      <w:tr w:rsidR="005F5AB5" w14:paraId="3BA79BA9" w14:textId="77777777" w:rsidTr="0046682A">
        <w:tc>
          <w:tcPr>
            <w:tcW w:w="2263" w:type="dxa"/>
          </w:tcPr>
          <w:p w14:paraId="7619E920" w14:textId="77777777" w:rsidR="005F5AB5" w:rsidRDefault="005F5AB5" w:rsidP="0046682A">
            <w:pPr>
              <w:rPr>
                <w:lang w:val="fr-FR"/>
              </w:rPr>
            </w:pPr>
            <w:r>
              <w:rPr>
                <w:lang w:val="fr-FR"/>
              </w:rPr>
              <w:t>ESCWA</w:t>
            </w:r>
          </w:p>
        </w:tc>
        <w:tc>
          <w:tcPr>
            <w:tcW w:w="3222" w:type="dxa"/>
          </w:tcPr>
          <w:p w14:paraId="5B117193" w14:textId="77777777" w:rsidR="005F5AB5" w:rsidRDefault="005F5AB5" w:rsidP="0046682A">
            <w:pPr>
              <w:rPr>
                <w:lang w:val="fr-FR"/>
              </w:rPr>
            </w:pPr>
            <w:r>
              <w:rPr>
                <w:lang w:val="fr-FR"/>
              </w:rPr>
              <w:t>World Bank</w:t>
            </w:r>
          </w:p>
        </w:tc>
        <w:tc>
          <w:tcPr>
            <w:tcW w:w="1881" w:type="dxa"/>
          </w:tcPr>
          <w:p w14:paraId="473F0578" w14:textId="77777777" w:rsidR="005F5AB5" w:rsidRDefault="005F5AB5" w:rsidP="0046682A">
            <w:pPr>
              <w:rPr>
                <w:lang w:val="fr-FR"/>
              </w:rPr>
            </w:pPr>
            <w:r>
              <w:rPr>
                <w:lang w:val="fr-FR"/>
              </w:rPr>
              <w:t>FAO</w:t>
            </w:r>
          </w:p>
        </w:tc>
        <w:tc>
          <w:tcPr>
            <w:tcW w:w="2694" w:type="dxa"/>
          </w:tcPr>
          <w:p w14:paraId="57C1AA1A" w14:textId="77777777" w:rsidR="005F5AB5" w:rsidRDefault="005F5AB5" w:rsidP="0046682A">
            <w:pPr>
              <w:rPr>
                <w:lang w:val="fr-FR"/>
              </w:rPr>
            </w:pPr>
            <w:r>
              <w:rPr>
                <w:lang w:val="fr-FR"/>
              </w:rPr>
              <w:t>UN-Habitat</w:t>
            </w:r>
          </w:p>
        </w:tc>
      </w:tr>
      <w:tr w:rsidR="005F5AB5" w:rsidRPr="00E230FA" w14:paraId="002A2C41" w14:textId="77777777" w:rsidTr="0046682A">
        <w:tc>
          <w:tcPr>
            <w:tcW w:w="2263" w:type="dxa"/>
          </w:tcPr>
          <w:p w14:paraId="280B71AC" w14:textId="77777777" w:rsidR="005F5AB5" w:rsidRPr="00A42A49" w:rsidRDefault="005F5AB5" w:rsidP="0046682A">
            <w:r>
              <w:t>Neda Jafar</w:t>
            </w:r>
            <w:r w:rsidRPr="00A42A49">
              <w:t xml:space="preserve"> </w:t>
            </w:r>
          </w:p>
          <w:p w14:paraId="5A148DB4" w14:textId="77777777" w:rsidR="005F5AB5" w:rsidRPr="00A42A49" w:rsidRDefault="005F5AB5" w:rsidP="0046682A">
            <w:r w:rsidRPr="00A42A49">
              <w:t>Head, Statistical Policies and Coordination Unit</w:t>
            </w:r>
          </w:p>
          <w:p w14:paraId="618D1166" w14:textId="77777777" w:rsidR="005F5AB5" w:rsidRPr="00A42A49" w:rsidRDefault="005F5AB5" w:rsidP="0046682A">
            <w:r w:rsidRPr="00A42A49">
              <w:t>Statistics and Information Technology Cluster</w:t>
            </w:r>
          </w:p>
          <w:p w14:paraId="7BE15C2E" w14:textId="77777777" w:rsidR="005F5AB5" w:rsidRDefault="005F5AB5" w:rsidP="0046682A">
            <w:r w:rsidRPr="00A42A49">
              <w:t>UN House, Beirut, Lebanon</w:t>
            </w:r>
          </w:p>
          <w:p w14:paraId="0F9A40A8" w14:textId="77777777" w:rsidR="005F5AB5" w:rsidRDefault="005F5AB5" w:rsidP="0046682A">
            <w:pPr>
              <w:rPr>
                <w:lang w:val="fr-FR"/>
              </w:rPr>
            </w:pPr>
            <w:r w:rsidRPr="006A048A">
              <w:rPr>
                <w:lang w:val="fr-FR"/>
              </w:rPr>
              <w:t>jafarn@un.org</w:t>
            </w:r>
            <w:r w:rsidRPr="006A048A">
              <w:rPr>
                <w:lang w:val="fr-FR"/>
              </w:rPr>
              <w:br/>
              <w:t>T. +961 1 978 344</w:t>
            </w:r>
          </w:p>
          <w:p w14:paraId="2BAF2EE5" w14:textId="77777777" w:rsidR="005F5AB5" w:rsidRPr="006A048A" w:rsidRDefault="005F5AB5" w:rsidP="0046682A">
            <w:pPr>
              <w:rPr>
                <w:lang w:val="fr-FR"/>
              </w:rPr>
            </w:pPr>
          </w:p>
          <w:p w14:paraId="7AA6D411" w14:textId="77777777" w:rsidR="005F5AB5" w:rsidRPr="006A048A" w:rsidRDefault="005F5AB5" w:rsidP="0046682A">
            <w:pPr>
              <w:rPr>
                <w:lang w:val="fr-FR"/>
              </w:rPr>
            </w:pPr>
            <w:r w:rsidRPr="006A048A">
              <w:rPr>
                <w:lang w:val="fr-FR"/>
              </w:rPr>
              <w:t>Joelle Atallah</w:t>
            </w:r>
          </w:p>
          <w:p w14:paraId="6D2277F3" w14:textId="77777777" w:rsidR="005F5AB5" w:rsidRDefault="005F5AB5" w:rsidP="0046682A">
            <w:r>
              <w:t>Statistics assistant</w:t>
            </w:r>
          </w:p>
          <w:p w14:paraId="5E609525" w14:textId="77777777" w:rsidR="005F5AB5" w:rsidRDefault="005F5AB5" w:rsidP="0046682A">
            <w:r w:rsidRPr="00AF1106">
              <w:t>Joelle.atallah@un.org</w:t>
            </w:r>
          </w:p>
          <w:p w14:paraId="3A468DA0" w14:textId="77777777" w:rsidR="005F5AB5" w:rsidRDefault="005F5AB5" w:rsidP="0046682A">
            <w:pPr>
              <w:rPr>
                <w:lang w:val="fr-FR"/>
              </w:rPr>
            </w:pPr>
            <w:r>
              <w:t>T.+961 1 978 731</w:t>
            </w:r>
          </w:p>
        </w:tc>
        <w:tc>
          <w:tcPr>
            <w:tcW w:w="3222" w:type="dxa"/>
          </w:tcPr>
          <w:p w14:paraId="3FB3FD28" w14:textId="77777777" w:rsidR="005F5AB5" w:rsidRDefault="005F5AB5" w:rsidP="0046682A">
            <w:r>
              <w:t xml:space="preserve">Thea </w:t>
            </w:r>
            <w:proofErr w:type="spellStart"/>
            <w:r>
              <w:t>Hilhorst</w:t>
            </w:r>
            <w:proofErr w:type="spellEnd"/>
          </w:p>
          <w:p w14:paraId="7703ACB0" w14:textId="77777777" w:rsidR="005F5AB5" w:rsidRDefault="005F5AB5" w:rsidP="0046682A">
            <w:r>
              <w:t>Sr. Land Governance Specialist in the World Bank</w:t>
            </w:r>
          </w:p>
          <w:p w14:paraId="6304CEE0" w14:textId="77777777" w:rsidR="005F5AB5" w:rsidRDefault="005F5AB5" w:rsidP="0046682A">
            <w:pPr>
              <w:rPr>
                <w:rFonts w:cstheme="minorHAnsi"/>
              </w:rPr>
            </w:pPr>
            <w:r>
              <w:rPr>
                <w:rFonts w:cstheme="minorHAnsi"/>
              </w:rPr>
              <w:t xml:space="preserve">Email: </w:t>
            </w:r>
            <w:hyperlink r:id="rId22" w:history="1">
              <w:r w:rsidRPr="008338EE">
                <w:rPr>
                  <w:rStyle w:val="Hyperlink"/>
                  <w:rFonts w:cstheme="minorHAnsi"/>
                </w:rPr>
                <w:t>thilhorst@worldbank.org</w:t>
              </w:r>
            </w:hyperlink>
            <w:r>
              <w:rPr>
                <w:rFonts w:cstheme="minorHAnsi"/>
              </w:rPr>
              <w:t xml:space="preserve"> </w:t>
            </w:r>
          </w:p>
          <w:p w14:paraId="4A8159CA" w14:textId="77777777" w:rsidR="005F5AB5" w:rsidRDefault="005F5AB5" w:rsidP="0046682A">
            <w:pPr>
              <w:rPr>
                <w:rFonts w:cstheme="minorHAnsi"/>
              </w:rPr>
            </w:pPr>
          </w:p>
          <w:p w14:paraId="5F5E823B" w14:textId="77777777" w:rsidR="005F5AB5" w:rsidRPr="009448E3" w:rsidRDefault="005F5AB5" w:rsidP="0046682A"/>
          <w:p w14:paraId="47B70832" w14:textId="77777777" w:rsidR="005F5AB5" w:rsidRDefault="005F5AB5" w:rsidP="0046682A">
            <w:r>
              <w:t>Sydney Gourlay</w:t>
            </w:r>
          </w:p>
          <w:p w14:paraId="53C23C2E" w14:textId="77777777" w:rsidR="005F5AB5" w:rsidRDefault="005F5AB5" w:rsidP="0046682A">
            <w:r>
              <w:t>Economist in the World Bank</w:t>
            </w:r>
          </w:p>
          <w:p w14:paraId="5D8B9EA1" w14:textId="77777777" w:rsidR="005F5AB5" w:rsidRPr="005F5AB5" w:rsidRDefault="005F5AB5" w:rsidP="0046682A">
            <w:r>
              <w:t xml:space="preserve">Email: </w:t>
            </w:r>
            <w:hyperlink r:id="rId23" w:history="1">
              <w:r w:rsidRPr="000D7B43">
                <w:rPr>
                  <w:rStyle w:val="Hyperlink"/>
                </w:rPr>
                <w:t>sgourlay@worldbank.org</w:t>
              </w:r>
            </w:hyperlink>
            <w:r>
              <w:t xml:space="preserve"> </w:t>
            </w:r>
          </w:p>
        </w:tc>
        <w:tc>
          <w:tcPr>
            <w:tcW w:w="1881" w:type="dxa"/>
          </w:tcPr>
          <w:p w14:paraId="5051723C" w14:textId="77777777" w:rsidR="005F5AB5" w:rsidRDefault="005F5AB5" w:rsidP="0046682A">
            <w:r>
              <w:t>Yonca Gurbuzer</w:t>
            </w:r>
          </w:p>
          <w:p w14:paraId="5F984947" w14:textId="77777777" w:rsidR="005F5AB5" w:rsidRDefault="005F5AB5" w:rsidP="0046682A">
            <w:r>
              <w:t>Statistician.</w:t>
            </w:r>
          </w:p>
          <w:p w14:paraId="70400EB1" w14:textId="77777777" w:rsidR="005F5AB5" w:rsidRDefault="005F5AB5" w:rsidP="0046682A">
            <w:r>
              <w:t>Statistics Division (ESS) in FAO</w:t>
            </w:r>
          </w:p>
          <w:p w14:paraId="64809DB3" w14:textId="77777777" w:rsidR="005F5AB5" w:rsidRDefault="005F5AB5" w:rsidP="0046682A">
            <w:r>
              <w:t xml:space="preserve">Email: </w:t>
            </w:r>
            <w:hyperlink r:id="rId24" w:history="1">
              <w:r w:rsidRPr="008338EE">
                <w:rPr>
                  <w:rStyle w:val="Hyperlink"/>
                </w:rPr>
                <w:t>Yonca.Gurbuzer@fao.org</w:t>
              </w:r>
            </w:hyperlink>
            <w:r>
              <w:t xml:space="preserve"> </w:t>
            </w:r>
          </w:p>
          <w:p w14:paraId="352ED08B" w14:textId="77777777" w:rsidR="005F5AB5" w:rsidRDefault="005F5AB5" w:rsidP="0046682A"/>
          <w:p w14:paraId="60032947" w14:textId="77777777" w:rsidR="005F5AB5" w:rsidRDefault="005F5AB5" w:rsidP="0046682A"/>
          <w:p w14:paraId="74537F40" w14:textId="77777777" w:rsidR="005F5AB5" w:rsidRPr="00BC0274" w:rsidRDefault="005F5AB5" w:rsidP="0046682A"/>
        </w:tc>
        <w:tc>
          <w:tcPr>
            <w:tcW w:w="2694" w:type="dxa"/>
          </w:tcPr>
          <w:p w14:paraId="4245C11F" w14:textId="77777777" w:rsidR="005F5AB5" w:rsidRPr="00BC0274" w:rsidRDefault="005F5AB5" w:rsidP="0046682A">
            <w:r w:rsidRPr="00BC0274">
              <w:t>Robert Lewis-</w:t>
            </w:r>
            <w:proofErr w:type="spellStart"/>
            <w:r w:rsidRPr="00BC0274">
              <w:t>Lettington</w:t>
            </w:r>
            <w:proofErr w:type="spellEnd"/>
          </w:p>
          <w:p w14:paraId="090E9A4E" w14:textId="77777777" w:rsidR="005F5AB5" w:rsidRDefault="005F5AB5" w:rsidP="0046682A">
            <w:r w:rsidRPr="000D54F5">
              <w:t>C</w:t>
            </w:r>
            <w:r>
              <w:t>hief -Land, Housing and Shelter Section</w:t>
            </w:r>
            <w:r w:rsidRPr="000D54F5">
              <w:t xml:space="preserve"> </w:t>
            </w:r>
            <w:r>
              <w:t>in</w:t>
            </w:r>
          </w:p>
          <w:p w14:paraId="10426639" w14:textId="77777777" w:rsidR="005F5AB5" w:rsidRPr="005F5AB5" w:rsidRDefault="005F5AB5" w:rsidP="0046682A">
            <w:pPr>
              <w:rPr>
                <w:lang w:val="fr-FR"/>
              </w:rPr>
            </w:pPr>
            <w:r w:rsidRPr="005F5AB5">
              <w:rPr>
                <w:lang w:val="fr-FR"/>
              </w:rPr>
              <w:t>UN-Habitat</w:t>
            </w:r>
          </w:p>
          <w:p w14:paraId="5E5861E9" w14:textId="77777777" w:rsidR="005F5AB5" w:rsidRPr="005F5AB5" w:rsidRDefault="005F5AB5" w:rsidP="0046682A">
            <w:pPr>
              <w:rPr>
                <w:lang w:val="fr-FR"/>
              </w:rPr>
            </w:pPr>
            <w:r w:rsidRPr="005F5AB5">
              <w:rPr>
                <w:lang w:val="fr-FR"/>
              </w:rPr>
              <w:t xml:space="preserve">Email: </w:t>
            </w:r>
            <w:hyperlink r:id="rId25" w:history="1">
              <w:r w:rsidRPr="005F5AB5">
                <w:rPr>
                  <w:rStyle w:val="Hyperlink"/>
                  <w:lang w:val="fr-FR"/>
                </w:rPr>
                <w:t>robert.lewis-lettington@un.org</w:t>
              </w:r>
            </w:hyperlink>
          </w:p>
          <w:p w14:paraId="7FB1133D" w14:textId="77777777" w:rsidR="005F5AB5" w:rsidRPr="005F5AB5" w:rsidRDefault="005F5AB5" w:rsidP="0046682A">
            <w:pPr>
              <w:rPr>
                <w:lang w:val="fr-FR"/>
              </w:rPr>
            </w:pPr>
          </w:p>
          <w:p w14:paraId="473C0512" w14:textId="77777777" w:rsidR="005F5AB5" w:rsidRPr="005F5AB5" w:rsidRDefault="005F5AB5" w:rsidP="0046682A">
            <w:pPr>
              <w:rPr>
                <w:lang w:val="fr-FR"/>
              </w:rPr>
            </w:pPr>
            <w:r w:rsidRPr="005F5AB5">
              <w:rPr>
                <w:lang w:val="fr-FR"/>
              </w:rPr>
              <w:t>Everlyne Nairesiae</w:t>
            </w:r>
          </w:p>
          <w:p w14:paraId="649B4B65" w14:textId="77777777" w:rsidR="005F5AB5" w:rsidRPr="005F5AB5" w:rsidRDefault="005F5AB5" w:rsidP="0046682A">
            <w:pPr>
              <w:rPr>
                <w:lang w:val="fr-FR"/>
              </w:rPr>
            </w:pPr>
            <w:r w:rsidRPr="005F5AB5">
              <w:rPr>
                <w:lang w:val="fr-FR"/>
              </w:rPr>
              <w:t xml:space="preserve"> </w:t>
            </w:r>
            <w:proofErr w:type="spellStart"/>
            <w:r w:rsidRPr="005F5AB5">
              <w:rPr>
                <w:lang w:val="fr-FR"/>
              </w:rPr>
              <w:t>Coordinator</w:t>
            </w:r>
            <w:proofErr w:type="spellEnd"/>
            <w:r w:rsidRPr="005F5AB5">
              <w:rPr>
                <w:lang w:val="fr-FR"/>
              </w:rPr>
              <w:t xml:space="preserve"> - Global Land </w:t>
            </w:r>
            <w:proofErr w:type="spellStart"/>
            <w:r w:rsidRPr="005F5AB5">
              <w:rPr>
                <w:lang w:val="fr-FR"/>
              </w:rPr>
              <w:t>Indicators</w:t>
            </w:r>
            <w:proofErr w:type="spellEnd"/>
            <w:r w:rsidRPr="005F5AB5">
              <w:rPr>
                <w:lang w:val="fr-FR"/>
              </w:rPr>
              <w:t xml:space="preserve"> Initiative (GLII) in GLTN, UN-Habitat</w:t>
            </w:r>
          </w:p>
          <w:p w14:paraId="34A842F3" w14:textId="77777777" w:rsidR="005F5AB5" w:rsidRPr="005F5AB5" w:rsidRDefault="005F5AB5" w:rsidP="0046682A">
            <w:pPr>
              <w:rPr>
                <w:lang w:val="fr-FR"/>
              </w:rPr>
            </w:pPr>
            <w:r w:rsidRPr="005F5AB5">
              <w:rPr>
                <w:lang w:val="fr-FR"/>
              </w:rPr>
              <w:t xml:space="preserve">Email: </w:t>
            </w:r>
            <w:hyperlink r:id="rId26" w:history="1">
              <w:r w:rsidRPr="005F5AB5">
                <w:rPr>
                  <w:rStyle w:val="Hyperlink"/>
                  <w:lang w:val="fr-FR"/>
                </w:rPr>
                <w:t>everlyne.nairesiae@un.org</w:t>
              </w:r>
            </w:hyperlink>
            <w:r w:rsidRPr="005F5AB5">
              <w:rPr>
                <w:lang w:val="fr-FR"/>
              </w:rPr>
              <w:t xml:space="preserve"> </w:t>
            </w:r>
          </w:p>
          <w:p w14:paraId="361D3547" w14:textId="77777777" w:rsidR="005F5AB5" w:rsidRPr="005F5AB5" w:rsidRDefault="005F5AB5" w:rsidP="0046682A">
            <w:pPr>
              <w:rPr>
                <w:lang w:val="fr-FR"/>
              </w:rPr>
            </w:pPr>
          </w:p>
          <w:p w14:paraId="1991A5D5" w14:textId="77777777" w:rsidR="005F5AB5" w:rsidRDefault="005F5AB5" w:rsidP="0046682A">
            <w:pPr>
              <w:rPr>
                <w:lang w:val="fr-FR"/>
              </w:rPr>
            </w:pPr>
            <w:r>
              <w:rPr>
                <w:lang w:val="fr-FR"/>
              </w:rPr>
              <w:t>Donatien Beguy</w:t>
            </w:r>
          </w:p>
          <w:p w14:paraId="0393A956" w14:textId="77777777" w:rsidR="005F5AB5" w:rsidRDefault="005F5AB5" w:rsidP="0046682A">
            <w:pPr>
              <w:rPr>
                <w:lang w:val="fr-FR"/>
              </w:rPr>
            </w:pPr>
            <w:proofErr w:type="spellStart"/>
            <w:r>
              <w:rPr>
                <w:lang w:val="fr-FR"/>
              </w:rPr>
              <w:t>Statistician</w:t>
            </w:r>
            <w:proofErr w:type="spellEnd"/>
            <w:r>
              <w:rPr>
                <w:lang w:val="fr-FR"/>
              </w:rPr>
              <w:t xml:space="preserve"> -</w:t>
            </w:r>
          </w:p>
          <w:p w14:paraId="52D3EA42" w14:textId="77777777" w:rsidR="005F5AB5" w:rsidRPr="003048AC" w:rsidRDefault="005F5AB5" w:rsidP="0046682A">
            <w:pPr>
              <w:rPr>
                <w:lang w:val="fr-FR"/>
              </w:rPr>
            </w:pPr>
            <w:r w:rsidRPr="003048AC">
              <w:rPr>
                <w:lang w:val="fr-FR"/>
              </w:rPr>
              <w:t>Data and Analytics Unit, UN-Habitat</w:t>
            </w:r>
          </w:p>
          <w:p w14:paraId="26CED1A6" w14:textId="77777777" w:rsidR="005F5AB5" w:rsidRPr="005F5AB5" w:rsidRDefault="005F5AB5" w:rsidP="0046682A">
            <w:r w:rsidRPr="005F5AB5">
              <w:t xml:space="preserve">Email : </w:t>
            </w:r>
            <w:hyperlink r:id="rId27" w:history="1">
              <w:r w:rsidRPr="005F5AB5">
                <w:rPr>
                  <w:rStyle w:val="Hyperlink"/>
                </w:rPr>
                <w:t>donatien.beguy@un.org</w:t>
              </w:r>
            </w:hyperlink>
          </w:p>
          <w:p w14:paraId="674DA7D1" w14:textId="77777777" w:rsidR="005F5AB5" w:rsidRPr="005F5AB5" w:rsidRDefault="005F5AB5" w:rsidP="0046682A"/>
          <w:p w14:paraId="292BE6F3" w14:textId="77777777" w:rsidR="005F5AB5" w:rsidRPr="005F5AB5" w:rsidRDefault="005F5AB5" w:rsidP="0046682A">
            <w:r w:rsidRPr="005F5AB5">
              <w:t>Clinton Omusula</w:t>
            </w:r>
          </w:p>
          <w:p w14:paraId="1447D2F2" w14:textId="77777777" w:rsidR="005F5AB5" w:rsidRDefault="005F5AB5" w:rsidP="0046682A">
            <w:r>
              <w:t>Land Data and Knowledge Management Officer in GLTN, UN-Habitat</w:t>
            </w:r>
          </w:p>
          <w:p w14:paraId="22743926" w14:textId="77777777" w:rsidR="005F5AB5" w:rsidRDefault="005F5AB5" w:rsidP="0046682A">
            <w:pPr>
              <w:rPr>
                <w:lang w:val="fr-FR"/>
              </w:rPr>
            </w:pPr>
            <w:r>
              <w:t xml:space="preserve">Email: </w:t>
            </w:r>
            <w:hyperlink r:id="rId28" w:history="1">
              <w:r w:rsidRPr="000D7B43">
                <w:rPr>
                  <w:rStyle w:val="Hyperlink"/>
                  <w:lang w:val="fr-FR"/>
                </w:rPr>
                <w:t>clinton.omusula@un.org</w:t>
              </w:r>
            </w:hyperlink>
          </w:p>
          <w:p w14:paraId="5FC13939" w14:textId="77777777" w:rsidR="005F5AB5" w:rsidRDefault="005F5AB5" w:rsidP="0046682A">
            <w:pPr>
              <w:rPr>
                <w:lang w:val="fr-FR"/>
              </w:rPr>
            </w:pPr>
          </w:p>
          <w:p w14:paraId="12BD386B" w14:textId="77777777" w:rsidR="005F5AB5" w:rsidRPr="00566860" w:rsidRDefault="005F5AB5" w:rsidP="0046682A">
            <w:pPr>
              <w:rPr>
                <w:lang w:val="fr-FR"/>
              </w:rPr>
            </w:pPr>
            <w:r>
              <w:rPr>
                <w:lang w:val="fr-FR"/>
              </w:rPr>
              <w:t xml:space="preserve"> </w:t>
            </w:r>
          </w:p>
        </w:tc>
      </w:tr>
    </w:tbl>
    <w:p w14:paraId="708A592D" w14:textId="348D5DB0" w:rsidR="00C3075C" w:rsidRDefault="00C3075C" w:rsidP="00C3075C">
      <w:pPr>
        <w:spacing w:line="240" w:lineRule="auto"/>
        <w:rPr>
          <w:color w:val="2E74B5" w:themeColor="accent5" w:themeShade="BF"/>
          <w:lang w:val="fr-FR"/>
        </w:rPr>
      </w:pPr>
    </w:p>
    <w:p w14:paraId="2E500699" w14:textId="4F19F75E" w:rsidR="00D935DB" w:rsidRDefault="00D935DB" w:rsidP="00C3075C">
      <w:pPr>
        <w:spacing w:line="240" w:lineRule="auto"/>
        <w:rPr>
          <w:color w:val="2E74B5" w:themeColor="accent5" w:themeShade="BF"/>
          <w:lang w:val="fr-FR"/>
        </w:rPr>
      </w:pPr>
    </w:p>
    <w:p w14:paraId="3233BE8B" w14:textId="0621BBD5" w:rsidR="00D935DB" w:rsidRDefault="00D935DB" w:rsidP="00C3075C">
      <w:pPr>
        <w:spacing w:line="240" w:lineRule="auto"/>
        <w:rPr>
          <w:color w:val="2E74B5" w:themeColor="accent5" w:themeShade="BF"/>
          <w:lang w:val="fr-FR"/>
        </w:rPr>
      </w:pPr>
    </w:p>
    <w:p w14:paraId="572F8BFB" w14:textId="5619FF76" w:rsidR="00D935DB" w:rsidRDefault="00D935DB" w:rsidP="00C3075C">
      <w:pPr>
        <w:spacing w:line="240" w:lineRule="auto"/>
        <w:rPr>
          <w:color w:val="2E74B5" w:themeColor="accent5" w:themeShade="BF"/>
          <w:lang w:val="fr-FR"/>
        </w:rPr>
      </w:pPr>
    </w:p>
    <w:p w14:paraId="3E6A458F" w14:textId="0DFB43D0" w:rsidR="00D935DB" w:rsidRDefault="00D935DB" w:rsidP="00C3075C">
      <w:pPr>
        <w:spacing w:line="240" w:lineRule="auto"/>
        <w:rPr>
          <w:color w:val="2E74B5" w:themeColor="accent5" w:themeShade="BF"/>
          <w:lang w:val="fr-FR"/>
        </w:rPr>
      </w:pPr>
    </w:p>
    <w:p w14:paraId="7B653343" w14:textId="746C9416" w:rsidR="00D935DB" w:rsidRDefault="00D935DB" w:rsidP="00C3075C">
      <w:pPr>
        <w:spacing w:line="240" w:lineRule="auto"/>
        <w:rPr>
          <w:color w:val="2E74B5" w:themeColor="accent5" w:themeShade="BF"/>
          <w:lang w:val="fr-FR"/>
        </w:rPr>
      </w:pPr>
    </w:p>
    <w:p w14:paraId="047A0EDA" w14:textId="5998623D" w:rsidR="00D935DB" w:rsidRDefault="00D935DB" w:rsidP="00C3075C">
      <w:pPr>
        <w:spacing w:line="240" w:lineRule="auto"/>
        <w:rPr>
          <w:color w:val="2E74B5" w:themeColor="accent5" w:themeShade="BF"/>
          <w:lang w:val="fr-FR"/>
        </w:rPr>
      </w:pPr>
    </w:p>
    <w:p w14:paraId="45FD9BF8" w14:textId="2D5562D2" w:rsidR="00D935DB" w:rsidRDefault="00D935DB" w:rsidP="00C3075C">
      <w:pPr>
        <w:spacing w:line="240" w:lineRule="auto"/>
        <w:rPr>
          <w:color w:val="2E74B5" w:themeColor="accent5" w:themeShade="BF"/>
          <w:lang w:val="fr-FR"/>
        </w:rPr>
      </w:pPr>
    </w:p>
    <w:p w14:paraId="3FBCD114" w14:textId="77777777" w:rsidR="00D935DB" w:rsidRDefault="00D935DB" w:rsidP="00C3075C">
      <w:pPr>
        <w:spacing w:line="240" w:lineRule="auto"/>
        <w:rPr>
          <w:color w:val="2E74B5" w:themeColor="accent5" w:themeShade="BF"/>
          <w:lang w:val="fr-FR"/>
        </w:rPr>
      </w:pPr>
    </w:p>
    <w:p w14:paraId="36CBED24" w14:textId="77777777" w:rsidR="005F5AB5" w:rsidRDefault="005F5AB5" w:rsidP="00C3075C">
      <w:pPr>
        <w:spacing w:line="240" w:lineRule="auto"/>
        <w:rPr>
          <w:color w:val="2E74B5" w:themeColor="accent5" w:themeShade="BF"/>
          <w:lang w:val="fr-FR"/>
        </w:rPr>
      </w:pPr>
    </w:p>
    <w:p w14:paraId="357E454E" w14:textId="44FCF190" w:rsidR="00355864" w:rsidRDefault="00C3075C" w:rsidP="00C3075C">
      <w:pPr>
        <w:spacing w:line="240" w:lineRule="auto"/>
        <w:rPr>
          <w:u w:val="single"/>
        </w:rPr>
      </w:pPr>
      <w:r w:rsidRPr="00C3075C">
        <w:rPr>
          <w:color w:val="2E74B5" w:themeColor="accent5" w:themeShade="BF"/>
        </w:rPr>
        <w:lastRenderedPageBreak/>
        <w:t>PROPOSED</w:t>
      </w:r>
      <w:r>
        <w:rPr>
          <w:u w:val="single"/>
        </w:rPr>
        <w:t xml:space="preserve"> </w:t>
      </w:r>
      <w:r w:rsidRPr="00C3075C">
        <w:rPr>
          <w:color w:val="2E74B5" w:themeColor="accent5" w:themeShade="BF"/>
        </w:rPr>
        <w:t>AGENDA</w:t>
      </w:r>
    </w:p>
    <w:tbl>
      <w:tblPr>
        <w:tblStyle w:val="TableGrid"/>
        <w:tblW w:w="9776" w:type="dxa"/>
        <w:tblLook w:val="04A0" w:firstRow="1" w:lastRow="0" w:firstColumn="1" w:lastColumn="0" w:noHBand="0" w:noVBand="1"/>
      </w:tblPr>
      <w:tblGrid>
        <w:gridCol w:w="1489"/>
        <w:gridCol w:w="4885"/>
        <w:gridCol w:w="3402"/>
      </w:tblGrid>
      <w:tr w:rsidR="003E1B6F" w14:paraId="75C79E58" w14:textId="77777777" w:rsidTr="00C3075C">
        <w:tc>
          <w:tcPr>
            <w:tcW w:w="1489" w:type="dxa"/>
            <w:shd w:val="clear" w:color="auto" w:fill="B4C6E7" w:themeFill="accent1" w:themeFillTint="66"/>
          </w:tcPr>
          <w:p w14:paraId="4A866AEB" w14:textId="2B164775" w:rsidR="003E1B6F" w:rsidRDefault="003E1B6F" w:rsidP="00BB2EF4">
            <w:pPr>
              <w:jc w:val="lowKashida"/>
            </w:pPr>
            <w:r>
              <w:t>Day: 20 April 2021</w:t>
            </w:r>
          </w:p>
        </w:tc>
        <w:tc>
          <w:tcPr>
            <w:tcW w:w="4885" w:type="dxa"/>
            <w:shd w:val="clear" w:color="auto" w:fill="B4C6E7" w:themeFill="accent1" w:themeFillTint="66"/>
          </w:tcPr>
          <w:p w14:paraId="21C08E44" w14:textId="77777777" w:rsidR="003E1B6F" w:rsidRDefault="003E1B6F" w:rsidP="00BB2EF4">
            <w:pPr>
              <w:jc w:val="lowKashida"/>
            </w:pPr>
          </w:p>
        </w:tc>
        <w:tc>
          <w:tcPr>
            <w:tcW w:w="3402" w:type="dxa"/>
            <w:shd w:val="clear" w:color="auto" w:fill="B4C6E7" w:themeFill="accent1" w:themeFillTint="66"/>
          </w:tcPr>
          <w:p w14:paraId="731E98D2" w14:textId="77777777" w:rsidR="003E1B6F" w:rsidRDefault="003E1B6F" w:rsidP="00BB2EF4">
            <w:pPr>
              <w:jc w:val="lowKashida"/>
            </w:pPr>
            <w:r>
              <w:t>Speakers</w:t>
            </w:r>
          </w:p>
        </w:tc>
      </w:tr>
      <w:tr w:rsidR="003E1B6F" w14:paraId="4DD16918" w14:textId="77777777" w:rsidTr="003E1B6F">
        <w:tc>
          <w:tcPr>
            <w:tcW w:w="1489" w:type="dxa"/>
          </w:tcPr>
          <w:p w14:paraId="06129161" w14:textId="32F0DABA" w:rsidR="003E1B6F" w:rsidRDefault="006B3EB6" w:rsidP="00BB2EF4">
            <w:pPr>
              <w:jc w:val="lowKashida"/>
            </w:pPr>
            <w:r>
              <w:t>10:00 – 10:10 am</w:t>
            </w:r>
          </w:p>
        </w:tc>
        <w:tc>
          <w:tcPr>
            <w:tcW w:w="4885" w:type="dxa"/>
          </w:tcPr>
          <w:p w14:paraId="115FF003" w14:textId="655FFCDE" w:rsidR="003E1B6F" w:rsidRDefault="003E1B6F" w:rsidP="00BB2EF4">
            <w:pPr>
              <w:jc w:val="both"/>
            </w:pPr>
            <w:r>
              <w:t>Introduction to the Webinar (objective, speakers, and content)</w:t>
            </w:r>
          </w:p>
          <w:p w14:paraId="2887584A" w14:textId="77777777" w:rsidR="003E1B6F" w:rsidRDefault="003E1B6F" w:rsidP="00BB2EF4">
            <w:pPr>
              <w:jc w:val="lowKashida"/>
            </w:pPr>
          </w:p>
        </w:tc>
        <w:tc>
          <w:tcPr>
            <w:tcW w:w="3402" w:type="dxa"/>
          </w:tcPr>
          <w:p w14:paraId="0718A20F" w14:textId="77777777" w:rsidR="003E1B6F" w:rsidRDefault="003E1B6F" w:rsidP="00BB2EF4">
            <w:pPr>
              <w:jc w:val="lowKashida"/>
            </w:pPr>
            <w:r>
              <w:t>ESCWA – Neda Jafar</w:t>
            </w:r>
          </w:p>
          <w:p w14:paraId="6B52E75F" w14:textId="7608BEEB" w:rsidR="000D54F5" w:rsidRDefault="000D54F5" w:rsidP="002F2C9B">
            <w:r w:rsidRPr="00B903DF">
              <w:rPr>
                <w:rFonts w:cs="Calibri"/>
                <w:lang w:eastAsia="en-GB"/>
              </w:rPr>
              <w:t>UN-Habitat -</w:t>
            </w:r>
            <w:r>
              <w:rPr>
                <w:rFonts w:cs="Calibri"/>
                <w:lang w:eastAsia="en-GB"/>
              </w:rPr>
              <w:t xml:space="preserve"> Robert Lewis-Lettington (Chief, Land, Housing and Shelter Section)</w:t>
            </w:r>
          </w:p>
        </w:tc>
      </w:tr>
      <w:tr w:rsidR="00930E40" w:rsidRPr="003048AC" w14:paraId="623D7CBA" w14:textId="77777777" w:rsidTr="00930E40">
        <w:tc>
          <w:tcPr>
            <w:tcW w:w="1489" w:type="dxa"/>
            <w:vMerge w:val="restart"/>
          </w:tcPr>
          <w:p w14:paraId="75B9AB90" w14:textId="3B6BE49C" w:rsidR="00930E40" w:rsidRPr="003E1B6F" w:rsidRDefault="00826738" w:rsidP="003E1B6F">
            <w:r>
              <w:t>10:10 –</w:t>
            </w:r>
            <w:r w:rsidR="006B3EB6">
              <w:t xml:space="preserve"> 1</w:t>
            </w:r>
            <w:r w:rsidR="00A50852">
              <w:t>1</w:t>
            </w:r>
            <w:r w:rsidR="006B3EB6">
              <w:t>:</w:t>
            </w:r>
            <w:r w:rsidR="00A50852">
              <w:t>1</w:t>
            </w:r>
            <w:r w:rsidR="006B3EB6">
              <w:t xml:space="preserve">0 </w:t>
            </w:r>
            <w:r w:rsidR="00A50852">
              <w:t>a</w:t>
            </w:r>
            <w:r w:rsidR="006B3EB6">
              <w:t>m</w:t>
            </w:r>
          </w:p>
        </w:tc>
        <w:tc>
          <w:tcPr>
            <w:tcW w:w="4885" w:type="dxa"/>
            <w:tcBorders>
              <w:bottom w:val="dotted" w:sz="4" w:space="0" w:color="auto"/>
            </w:tcBorders>
          </w:tcPr>
          <w:p w14:paraId="6DB7CFFD" w14:textId="77777777" w:rsidR="00A50852" w:rsidRDefault="00A50852" w:rsidP="00A50852">
            <w:pPr>
              <w:jc w:val="lowKashida"/>
              <w:rPr>
                <w:b/>
                <w:bCs/>
              </w:rPr>
            </w:pPr>
            <w:r>
              <w:rPr>
                <w:b/>
                <w:bCs/>
              </w:rPr>
              <w:t>Introduction to indicator 1.4.2 and 5.a.1</w:t>
            </w:r>
          </w:p>
          <w:p w14:paraId="3FB315D8" w14:textId="77777777" w:rsidR="00A50852" w:rsidRDefault="00A50852" w:rsidP="00A50852">
            <w:pPr>
              <w:jc w:val="lowKashida"/>
              <w:rPr>
                <w:b/>
                <w:bCs/>
              </w:rPr>
            </w:pPr>
          </w:p>
          <w:p w14:paraId="5459DFE7" w14:textId="77777777" w:rsidR="00A50852" w:rsidRDefault="00A50852" w:rsidP="00A50852">
            <w:pPr>
              <w:jc w:val="lowKashida"/>
            </w:pPr>
            <w:r>
              <w:t>1.4.2 Proportion of total adult population with secure tenure rights to land, (a) with legally recognized documentation, and (b) who perceive their rights to land as secure, by sex and type of tenure</w:t>
            </w:r>
          </w:p>
          <w:p w14:paraId="16EF71FE" w14:textId="77777777" w:rsidR="00A50852" w:rsidRDefault="00A50852" w:rsidP="00A50852">
            <w:pPr>
              <w:jc w:val="lowKashida"/>
            </w:pPr>
          </w:p>
          <w:p w14:paraId="7AF4E547" w14:textId="77777777" w:rsidR="00A50852" w:rsidRDefault="00A50852" w:rsidP="00A50852">
            <w:pPr>
              <w:jc w:val="lowKashida"/>
            </w:pPr>
            <w:r>
              <w:t>5.a.1 (a) Proportion of total agricultural population with ownership or secure rights over agricultural land, by sex; and (b) share of women among owners or rights-bearers of agricultural land, by type of tenure</w:t>
            </w:r>
          </w:p>
          <w:p w14:paraId="6EF79817" w14:textId="6E735AEB" w:rsidR="00930E40" w:rsidRDefault="00930E40" w:rsidP="00BB2EF4">
            <w:pPr>
              <w:jc w:val="lowKashida"/>
            </w:pPr>
          </w:p>
        </w:tc>
        <w:tc>
          <w:tcPr>
            <w:tcW w:w="3402" w:type="dxa"/>
            <w:tcBorders>
              <w:bottom w:val="dotted" w:sz="4" w:space="0" w:color="auto"/>
            </w:tcBorders>
          </w:tcPr>
          <w:p w14:paraId="2B929009" w14:textId="47900233" w:rsidR="00930E40" w:rsidRPr="00D935DB" w:rsidRDefault="00D935DB" w:rsidP="002F2C9B">
            <w:pPr>
              <w:rPr>
                <w:lang w:val="fr-FR"/>
              </w:rPr>
            </w:pPr>
            <w:r w:rsidRPr="00D935DB">
              <w:rPr>
                <w:rFonts w:cs="Calibri"/>
                <w:lang w:val="fr-FR" w:eastAsia="en-GB"/>
              </w:rPr>
              <w:t>Everlyne Nairesiae/Clinton Omusula (UN-Habitat) and Yonca Gurbuzer (FAO)</w:t>
            </w:r>
          </w:p>
        </w:tc>
      </w:tr>
      <w:tr w:rsidR="00930E40" w14:paraId="5C28CB51" w14:textId="77777777" w:rsidTr="00930E40">
        <w:tc>
          <w:tcPr>
            <w:tcW w:w="1489" w:type="dxa"/>
            <w:vMerge/>
          </w:tcPr>
          <w:p w14:paraId="3C7B66C0" w14:textId="77777777" w:rsidR="00930E40" w:rsidRPr="00D935DB" w:rsidRDefault="00930E40" w:rsidP="00BB2EF4">
            <w:pPr>
              <w:jc w:val="lowKashida"/>
              <w:rPr>
                <w:lang w:val="fr-FR"/>
              </w:rPr>
            </w:pPr>
          </w:p>
        </w:tc>
        <w:tc>
          <w:tcPr>
            <w:tcW w:w="4885" w:type="dxa"/>
            <w:tcBorders>
              <w:top w:val="dotted" w:sz="4" w:space="0" w:color="auto"/>
            </w:tcBorders>
          </w:tcPr>
          <w:p w14:paraId="347181BC" w14:textId="3C6953C6" w:rsidR="00543AAF" w:rsidRDefault="004421B7" w:rsidP="00BB2EF4">
            <w:pPr>
              <w:jc w:val="lowKashida"/>
            </w:pPr>
            <w:r>
              <w:t>C</w:t>
            </w:r>
            <w:r w:rsidR="00543AAF">
              <w:t xml:space="preserve">ountry experience </w:t>
            </w:r>
          </w:p>
          <w:p w14:paraId="6521A412" w14:textId="58DD14BD" w:rsidR="00930E40" w:rsidRPr="00566860" w:rsidRDefault="00930E40" w:rsidP="00BB2EF4">
            <w:pPr>
              <w:jc w:val="lowKashida"/>
            </w:pPr>
            <w:r>
              <w:t>Discussion – Q&amp;A</w:t>
            </w:r>
          </w:p>
        </w:tc>
        <w:tc>
          <w:tcPr>
            <w:tcW w:w="3402" w:type="dxa"/>
            <w:tcBorders>
              <w:top w:val="dotted" w:sz="4" w:space="0" w:color="auto"/>
            </w:tcBorders>
          </w:tcPr>
          <w:p w14:paraId="56A03BF3" w14:textId="1FE508F9" w:rsidR="00930E40" w:rsidRDefault="002F2C9B" w:rsidP="00BB2EF4">
            <w:pPr>
              <w:jc w:val="lowKashida"/>
            </w:pPr>
            <w:r>
              <w:t xml:space="preserve">Jordan </w:t>
            </w:r>
          </w:p>
        </w:tc>
      </w:tr>
      <w:tr w:rsidR="00D935DB" w14:paraId="3D16BCDA" w14:textId="77777777" w:rsidTr="00930E40">
        <w:tc>
          <w:tcPr>
            <w:tcW w:w="1489" w:type="dxa"/>
          </w:tcPr>
          <w:p w14:paraId="4D1EAD31" w14:textId="47A6E109" w:rsidR="00D935DB" w:rsidRPr="00D935DB" w:rsidRDefault="00D935DB" w:rsidP="00BB2EF4">
            <w:pPr>
              <w:jc w:val="lowKashida"/>
              <w:rPr>
                <w:lang w:val="fr-FR"/>
              </w:rPr>
            </w:pPr>
            <w:r>
              <w:rPr>
                <w:lang w:val="fr-FR"/>
              </w:rPr>
              <w:t xml:space="preserve">11 :10 – 11 : 20 </w:t>
            </w:r>
            <w:proofErr w:type="spellStart"/>
            <w:r>
              <w:rPr>
                <w:lang w:val="fr-FR"/>
              </w:rPr>
              <w:t>am</w:t>
            </w:r>
            <w:proofErr w:type="spellEnd"/>
          </w:p>
        </w:tc>
        <w:tc>
          <w:tcPr>
            <w:tcW w:w="4885" w:type="dxa"/>
            <w:tcBorders>
              <w:top w:val="dotted" w:sz="4" w:space="0" w:color="auto"/>
            </w:tcBorders>
          </w:tcPr>
          <w:p w14:paraId="2CE6FC1B" w14:textId="7EDA1EEC" w:rsidR="00D935DB" w:rsidRDefault="00D935DB" w:rsidP="00BB2EF4">
            <w:pPr>
              <w:jc w:val="lowKashida"/>
            </w:pPr>
            <w:r>
              <w:t>Break</w:t>
            </w:r>
          </w:p>
        </w:tc>
        <w:tc>
          <w:tcPr>
            <w:tcW w:w="3402" w:type="dxa"/>
            <w:tcBorders>
              <w:top w:val="dotted" w:sz="4" w:space="0" w:color="auto"/>
            </w:tcBorders>
          </w:tcPr>
          <w:p w14:paraId="34626057" w14:textId="77777777" w:rsidR="00D935DB" w:rsidRDefault="00D935DB" w:rsidP="00BB2EF4">
            <w:pPr>
              <w:jc w:val="lowKashida"/>
            </w:pPr>
          </w:p>
        </w:tc>
      </w:tr>
      <w:tr w:rsidR="003E1B6F" w14:paraId="6A0EC14B" w14:textId="77777777" w:rsidTr="003E1B6F">
        <w:tc>
          <w:tcPr>
            <w:tcW w:w="1489" w:type="dxa"/>
            <w:vMerge w:val="restart"/>
          </w:tcPr>
          <w:p w14:paraId="6BE6CA81" w14:textId="2A549E41" w:rsidR="003E1B6F" w:rsidRDefault="006B3EB6" w:rsidP="00BB2EF4">
            <w:pPr>
              <w:jc w:val="lowKashida"/>
            </w:pPr>
            <w:r>
              <w:t>1</w:t>
            </w:r>
            <w:r w:rsidR="00A50852">
              <w:t>1</w:t>
            </w:r>
            <w:r>
              <w:t>:</w:t>
            </w:r>
            <w:r w:rsidR="00D935DB">
              <w:t>2</w:t>
            </w:r>
            <w:r>
              <w:t xml:space="preserve">0 </w:t>
            </w:r>
            <w:r w:rsidR="00A50852">
              <w:t>a</w:t>
            </w:r>
            <w:r>
              <w:t xml:space="preserve">m – </w:t>
            </w:r>
            <w:r w:rsidR="00A50852">
              <w:t>12</w:t>
            </w:r>
            <w:r>
              <w:t>:</w:t>
            </w:r>
            <w:r w:rsidR="00A50852">
              <w:t>3</w:t>
            </w:r>
            <w:r>
              <w:t>0 pm</w:t>
            </w:r>
          </w:p>
        </w:tc>
        <w:tc>
          <w:tcPr>
            <w:tcW w:w="4885" w:type="dxa"/>
            <w:tcBorders>
              <w:bottom w:val="dotted" w:sz="4" w:space="0" w:color="auto"/>
            </w:tcBorders>
          </w:tcPr>
          <w:p w14:paraId="0FF39607" w14:textId="6F265715" w:rsidR="003E1B6F" w:rsidRDefault="00A50852" w:rsidP="00BB2EF4">
            <w:pPr>
              <w:jc w:val="lowKashida"/>
            </w:pPr>
            <w:r>
              <w:rPr>
                <w:b/>
                <w:bCs/>
              </w:rPr>
              <w:t>The joint module for measuring indicator 1.4.2 and 5.a.1  </w:t>
            </w:r>
          </w:p>
        </w:tc>
        <w:tc>
          <w:tcPr>
            <w:tcW w:w="3402" w:type="dxa"/>
            <w:tcBorders>
              <w:bottom w:val="dotted" w:sz="4" w:space="0" w:color="auto"/>
            </w:tcBorders>
          </w:tcPr>
          <w:p w14:paraId="0ECF3209" w14:textId="0C42C926" w:rsidR="003E1B6F" w:rsidRPr="00D935DB" w:rsidRDefault="00D935DB" w:rsidP="002F2C9B">
            <w:pPr>
              <w:rPr>
                <w:rFonts w:cs="Calibri"/>
                <w:lang w:eastAsia="en-GB"/>
              </w:rPr>
            </w:pPr>
            <w:r>
              <w:rPr>
                <w:rFonts w:cs="Calibri"/>
                <w:lang w:eastAsia="en-GB"/>
              </w:rPr>
              <w:t>Donatien Beguy</w:t>
            </w:r>
            <w:r w:rsidRPr="00363F88">
              <w:rPr>
                <w:rFonts w:cs="Calibri"/>
                <w:lang w:eastAsia="en-GB"/>
              </w:rPr>
              <w:t xml:space="preserve"> (UN-Habitat)</w:t>
            </w:r>
            <w:r>
              <w:rPr>
                <w:rFonts w:cs="Calibri"/>
                <w:lang w:eastAsia="en-GB"/>
              </w:rPr>
              <w:t xml:space="preserve">, </w:t>
            </w:r>
            <w:r w:rsidRPr="00363F88">
              <w:rPr>
                <w:rFonts w:cs="Calibri"/>
                <w:lang w:eastAsia="en-GB"/>
              </w:rPr>
              <w:t>Sydney G</w:t>
            </w:r>
            <w:bookmarkStart w:id="6" w:name="_GoBack"/>
            <w:bookmarkEnd w:id="6"/>
            <w:r w:rsidRPr="00363F88">
              <w:rPr>
                <w:rFonts w:cs="Calibri"/>
                <w:lang w:eastAsia="en-GB"/>
              </w:rPr>
              <w:t>ourlay (World Bank),</w:t>
            </w:r>
            <w:r>
              <w:rPr>
                <w:rFonts w:cs="Calibri"/>
                <w:lang w:eastAsia="en-GB"/>
              </w:rPr>
              <w:t xml:space="preserve"> </w:t>
            </w:r>
            <w:r w:rsidRPr="00363F88">
              <w:rPr>
                <w:rFonts w:cs="Calibri"/>
                <w:lang w:eastAsia="en-GB"/>
              </w:rPr>
              <w:t>and</w:t>
            </w:r>
            <w:r>
              <w:rPr>
                <w:rFonts w:cs="Calibri"/>
                <w:lang w:eastAsia="en-GB"/>
              </w:rPr>
              <w:t xml:space="preserve"> </w:t>
            </w:r>
            <w:r w:rsidRPr="00363F88">
              <w:rPr>
                <w:rFonts w:cs="Calibri"/>
                <w:lang w:eastAsia="en-GB"/>
              </w:rPr>
              <w:t>Yonca Gurbuzer (FAO)</w:t>
            </w:r>
          </w:p>
        </w:tc>
      </w:tr>
      <w:tr w:rsidR="003E1B6F" w14:paraId="701C3699" w14:textId="77777777" w:rsidTr="003E1B6F">
        <w:tc>
          <w:tcPr>
            <w:tcW w:w="1489" w:type="dxa"/>
            <w:vMerge/>
          </w:tcPr>
          <w:p w14:paraId="7707AB73" w14:textId="77777777" w:rsidR="003E1B6F" w:rsidRPr="003E1B6F" w:rsidRDefault="003E1B6F" w:rsidP="00BB2EF4">
            <w:pPr>
              <w:jc w:val="lowKashida"/>
              <w:rPr>
                <w:highlight w:val="yellow"/>
              </w:rPr>
            </w:pPr>
          </w:p>
        </w:tc>
        <w:tc>
          <w:tcPr>
            <w:tcW w:w="4885" w:type="dxa"/>
            <w:tcBorders>
              <w:top w:val="dotted" w:sz="4" w:space="0" w:color="auto"/>
            </w:tcBorders>
          </w:tcPr>
          <w:p w14:paraId="7C49453F" w14:textId="5C921D04" w:rsidR="003E1B6F" w:rsidRPr="00566860" w:rsidRDefault="005E21F2" w:rsidP="00BB2EF4">
            <w:pPr>
              <w:jc w:val="lowKashida"/>
            </w:pPr>
            <w:r>
              <w:t>Discussion – Q&amp;A</w:t>
            </w:r>
          </w:p>
        </w:tc>
        <w:tc>
          <w:tcPr>
            <w:tcW w:w="3402" w:type="dxa"/>
            <w:tcBorders>
              <w:top w:val="dotted" w:sz="4" w:space="0" w:color="auto"/>
            </w:tcBorders>
          </w:tcPr>
          <w:p w14:paraId="21F28670" w14:textId="77777777" w:rsidR="003E1B6F" w:rsidRDefault="003E1B6F" w:rsidP="00BB2EF4">
            <w:pPr>
              <w:jc w:val="lowKashida"/>
            </w:pPr>
          </w:p>
        </w:tc>
      </w:tr>
      <w:tr w:rsidR="003E1B6F" w14:paraId="13B19AAF" w14:textId="77777777" w:rsidTr="003E1B6F">
        <w:tc>
          <w:tcPr>
            <w:tcW w:w="1489" w:type="dxa"/>
          </w:tcPr>
          <w:p w14:paraId="3D6FC750" w14:textId="6DB5AF9A" w:rsidR="003E1B6F" w:rsidRDefault="00A50852" w:rsidP="00BB2EF4">
            <w:pPr>
              <w:jc w:val="lowKashida"/>
            </w:pPr>
            <w:r>
              <w:t>12:30</w:t>
            </w:r>
            <w:r w:rsidR="006B3EB6">
              <w:t xml:space="preserve"> – </w:t>
            </w:r>
            <w:r>
              <w:t>1</w:t>
            </w:r>
            <w:r w:rsidR="006B3EB6">
              <w:t>:</w:t>
            </w:r>
            <w:r>
              <w:t>0</w:t>
            </w:r>
            <w:r w:rsidR="006B3EB6">
              <w:t>0 pm</w:t>
            </w:r>
          </w:p>
        </w:tc>
        <w:tc>
          <w:tcPr>
            <w:tcW w:w="4885" w:type="dxa"/>
          </w:tcPr>
          <w:p w14:paraId="043E2102" w14:textId="44CBE54F" w:rsidR="003E1B6F" w:rsidRDefault="003E1B6F" w:rsidP="00BB2EF4">
            <w:pPr>
              <w:jc w:val="both"/>
            </w:pPr>
            <w:r>
              <w:t>Way Forward and Conclusion</w:t>
            </w:r>
          </w:p>
        </w:tc>
        <w:tc>
          <w:tcPr>
            <w:tcW w:w="3402" w:type="dxa"/>
          </w:tcPr>
          <w:p w14:paraId="321EED57" w14:textId="144B7496" w:rsidR="00834942" w:rsidRDefault="00834942" w:rsidP="00834942">
            <w:pPr>
              <w:jc w:val="lowKashida"/>
            </w:pPr>
            <w:r>
              <w:t>ESCWA – Neda Jafar</w:t>
            </w:r>
          </w:p>
          <w:p w14:paraId="5E84EE24" w14:textId="39A1999D" w:rsidR="003E1B6F" w:rsidRDefault="00D935DB" w:rsidP="00D935DB">
            <w:pPr>
              <w:jc w:val="lowKashida"/>
            </w:pPr>
            <w:r w:rsidRPr="00363F88">
              <w:rPr>
                <w:rFonts w:cs="Calibri"/>
                <w:lang w:eastAsia="en-GB"/>
              </w:rPr>
              <w:t xml:space="preserve">Thea </w:t>
            </w:r>
            <w:proofErr w:type="spellStart"/>
            <w:r w:rsidRPr="00363F88">
              <w:rPr>
                <w:rFonts w:cs="Calibri"/>
                <w:lang w:eastAsia="en-GB"/>
              </w:rPr>
              <w:t>Hilhorst</w:t>
            </w:r>
            <w:proofErr w:type="spellEnd"/>
            <w:r w:rsidRPr="00363F88">
              <w:rPr>
                <w:rFonts w:cs="Calibri"/>
                <w:lang w:eastAsia="en-GB"/>
              </w:rPr>
              <w:t xml:space="preserve"> (World Bank)/ Yonca Gurbuzer (FAO)/Everlyne Nairesiae (UN-Habitat)/</w:t>
            </w:r>
          </w:p>
        </w:tc>
      </w:tr>
    </w:tbl>
    <w:p w14:paraId="1F87D4DD" w14:textId="77777777" w:rsidR="00355864" w:rsidRDefault="00355864" w:rsidP="00355864"/>
    <w:p w14:paraId="47B1322E" w14:textId="3460F9D9" w:rsidR="00355864" w:rsidRDefault="00355864" w:rsidP="00355864">
      <w:pPr>
        <w:rPr>
          <w:u w:val="single"/>
        </w:rPr>
      </w:pPr>
    </w:p>
    <w:p w14:paraId="5FFCABA1" w14:textId="04908692" w:rsidR="003E1B6F" w:rsidRPr="00D935DB" w:rsidRDefault="003E1B6F" w:rsidP="00C3075C">
      <w:pPr>
        <w:rPr>
          <w:u w:val="single"/>
        </w:rPr>
        <w:sectPr w:rsidR="003E1B6F" w:rsidRPr="00D935DB" w:rsidSect="00E90ACE">
          <w:pgSz w:w="12240" w:h="15840"/>
          <w:pgMar w:top="1440" w:right="1440" w:bottom="1440" w:left="1440" w:header="720" w:footer="720" w:gutter="0"/>
          <w:cols w:space="720"/>
          <w:docGrid w:linePitch="360"/>
        </w:sectPr>
      </w:pPr>
    </w:p>
    <w:p w14:paraId="7DB27D42" w14:textId="0A05404C" w:rsidR="00566860" w:rsidRPr="00F61F36" w:rsidRDefault="00EE0FFE" w:rsidP="00EE0FFE">
      <w:pPr>
        <w:spacing w:line="240" w:lineRule="auto"/>
        <w:rPr>
          <w:color w:val="2E74B5" w:themeColor="accent5" w:themeShade="BF"/>
        </w:rPr>
      </w:pPr>
      <w:r w:rsidRPr="00EE0FFE">
        <w:rPr>
          <w:color w:val="2E74B5" w:themeColor="accent5" w:themeShade="BF"/>
        </w:rPr>
        <w:lastRenderedPageBreak/>
        <w:t>METADATA</w:t>
      </w:r>
    </w:p>
    <w:tbl>
      <w:tblPr>
        <w:tblStyle w:val="TableGrid"/>
        <w:tblW w:w="13320" w:type="dxa"/>
        <w:tblLook w:val="04A0" w:firstRow="1" w:lastRow="0" w:firstColumn="1" w:lastColumn="0" w:noHBand="0" w:noVBand="1"/>
      </w:tblPr>
      <w:tblGrid>
        <w:gridCol w:w="1777"/>
        <w:gridCol w:w="1593"/>
        <w:gridCol w:w="5379"/>
        <w:gridCol w:w="4571"/>
      </w:tblGrid>
      <w:tr w:rsidR="00566860" w:rsidRPr="00566860" w14:paraId="65E59F89" w14:textId="77777777" w:rsidTr="003E1B6F">
        <w:tc>
          <w:tcPr>
            <w:tcW w:w="1917" w:type="dxa"/>
          </w:tcPr>
          <w:p w14:paraId="437C3D85" w14:textId="77777777" w:rsidR="00566860" w:rsidRPr="00566860" w:rsidRDefault="00566860" w:rsidP="00566860">
            <w:pPr>
              <w:spacing w:after="160" w:line="259" w:lineRule="auto"/>
            </w:pPr>
            <w:r w:rsidRPr="00566860">
              <w:t xml:space="preserve">Indicators </w:t>
            </w:r>
          </w:p>
        </w:tc>
        <w:tc>
          <w:tcPr>
            <w:tcW w:w="1665" w:type="dxa"/>
          </w:tcPr>
          <w:p w14:paraId="1050EA91" w14:textId="77777777" w:rsidR="00566860" w:rsidRPr="00566860" w:rsidRDefault="00566860" w:rsidP="00566860">
            <w:pPr>
              <w:spacing w:after="160" w:line="259" w:lineRule="auto"/>
            </w:pPr>
            <w:r w:rsidRPr="00566860">
              <w:t xml:space="preserve">Main sources of data </w:t>
            </w:r>
          </w:p>
        </w:tc>
        <w:tc>
          <w:tcPr>
            <w:tcW w:w="2934" w:type="dxa"/>
          </w:tcPr>
          <w:p w14:paraId="0B436896" w14:textId="1CD277FC" w:rsidR="00566860" w:rsidRPr="00566860" w:rsidRDefault="00566860" w:rsidP="00566860">
            <w:pPr>
              <w:spacing w:after="160" w:line="259" w:lineRule="auto"/>
            </w:pPr>
            <w:r w:rsidRPr="00566860">
              <w:t>Metadata</w:t>
            </w:r>
            <w:r w:rsidR="00AE35B1">
              <w:t xml:space="preserve"> Summary</w:t>
            </w:r>
          </w:p>
        </w:tc>
        <w:tc>
          <w:tcPr>
            <w:tcW w:w="6804" w:type="dxa"/>
          </w:tcPr>
          <w:p w14:paraId="341006E7" w14:textId="77777777" w:rsidR="00566860" w:rsidRPr="00566860" w:rsidRDefault="00566860" w:rsidP="00566860">
            <w:pPr>
              <w:spacing w:after="160" w:line="259" w:lineRule="auto"/>
            </w:pPr>
            <w:r w:rsidRPr="00566860">
              <w:t>Questions</w:t>
            </w:r>
          </w:p>
        </w:tc>
      </w:tr>
      <w:tr w:rsidR="00566860" w:rsidRPr="00566860" w14:paraId="6D185298" w14:textId="77777777" w:rsidTr="003E1B6F">
        <w:tc>
          <w:tcPr>
            <w:tcW w:w="1917" w:type="dxa"/>
          </w:tcPr>
          <w:p w14:paraId="35263FE2" w14:textId="77777777" w:rsidR="00566860" w:rsidRPr="00566860" w:rsidRDefault="00566860" w:rsidP="00566860">
            <w:pPr>
              <w:spacing w:after="160" w:line="259" w:lineRule="auto"/>
            </w:pPr>
            <w:r w:rsidRPr="00566860">
              <w:t>1.4.2 Proportion of total adult population with secure tenure rights to land, (a) with legally recognized documentation, and (b) who perceive their rights to land as secure, by sex and type of tenure</w:t>
            </w:r>
          </w:p>
        </w:tc>
        <w:tc>
          <w:tcPr>
            <w:tcW w:w="1665" w:type="dxa"/>
          </w:tcPr>
          <w:p w14:paraId="176D9746" w14:textId="355A6993" w:rsidR="00566860" w:rsidRPr="00566860" w:rsidRDefault="00566860" w:rsidP="00566860">
            <w:pPr>
              <w:spacing w:after="160" w:line="259" w:lineRule="auto"/>
            </w:pPr>
            <w:r w:rsidRPr="00566860">
              <w:t>DHS, National census, HIECs, MICS, Multi-</w:t>
            </w:r>
            <w:r w:rsidR="00EE0FFE" w:rsidRPr="00566860">
              <w:t>topic household</w:t>
            </w:r>
            <w:r w:rsidRPr="00566860">
              <w:t xml:space="preserve"> survey, UIS, Administrative records (registries, cadasters, ministries responsible for land)</w:t>
            </w:r>
          </w:p>
        </w:tc>
        <w:tc>
          <w:tcPr>
            <w:tcW w:w="2934" w:type="dxa"/>
          </w:tcPr>
          <w:p w14:paraId="76F4DB69" w14:textId="77777777" w:rsidR="00D935DB" w:rsidRPr="00193583" w:rsidRDefault="00D935DB" w:rsidP="00193583">
            <w:pPr>
              <w:spacing w:before="120"/>
              <w:jc w:val="both"/>
              <w:rPr>
                <w:rFonts w:cs="Times New Roman"/>
                <w:sz w:val="21"/>
                <w:szCs w:val="21"/>
              </w:rPr>
            </w:pPr>
            <w:r w:rsidRPr="00193583">
              <w:rPr>
                <w:rFonts w:cs="Times New Roman"/>
                <w:sz w:val="21"/>
                <w:szCs w:val="21"/>
              </w:rPr>
              <w:t>Indicator 1.4.2 covers (a) all types of land use (such as residential, commercial, agricultural, forestry, grazing, wetlands based on standard land-use classification) in both rural and urban areas; and (b) all land tenure types as recognized at the country level, such as freehold, leasehold, public land, customary land. An individual can hold land in his/her own name, jointly with other individuals, as a member of a household, or collectively as member of group</w:t>
            </w:r>
            <w:r w:rsidRPr="00193583">
              <w:rPr>
                <w:rStyle w:val="FootnoteReference"/>
                <w:rFonts w:cs="Times New Roman"/>
                <w:sz w:val="21"/>
                <w:szCs w:val="21"/>
              </w:rPr>
              <w:footnoteReference w:id="2"/>
            </w:r>
            <w:r w:rsidRPr="00193583">
              <w:rPr>
                <w:rFonts w:cs="Times New Roman"/>
                <w:sz w:val="21"/>
                <w:szCs w:val="21"/>
              </w:rPr>
              <w:t xml:space="preserve">, cooperative or other type of association. </w:t>
            </w:r>
          </w:p>
          <w:p w14:paraId="2A9254CA" w14:textId="77777777" w:rsidR="00D935DB" w:rsidRPr="00193583" w:rsidRDefault="00D935DB" w:rsidP="00193583">
            <w:pPr>
              <w:shd w:val="clear" w:color="auto" w:fill="FFFFFF"/>
              <w:jc w:val="both"/>
              <w:rPr>
                <w:rFonts w:eastAsia="Times New Roman" w:cs="Times New Roman"/>
                <w:sz w:val="21"/>
                <w:szCs w:val="21"/>
                <w:lang w:eastAsia="en-GB"/>
              </w:rPr>
            </w:pPr>
          </w:p>
          <w:p w14:paraId="4ACB96C9" w14:textId="77777777" w:rsidR="00D935DB" w:rsidRPr="00193583" w:rsidRDefault="00D935DB" w:rsidP="00193583">
            <w:pPr>
              <w:shd w:val="clear" w:color="auto" w:fill="FFFFFF"/>
              <w:jc w:val="both"/>
              <w:rPr>
                <w:rFonts w:eastAsia="Times New Roman" w:cs="Times New Roman"/>
                <w:sz w:val="21"/>
                <w:szCs w:val="21"/>
                <w:lang w:eastAsia="en-GB"/>
              </w:rPr>
            </w:pPr>
            <w:r w:rsidRPr="00193583">
              <w:rPr>
                <w:rFonts w:eastAsia="Times New Roman" w:cs="Times New Roman"/>
                <w:b/>
                <w:bCs/>
                <w:sz w:val="21"/>
                <w:szCs w:val="21"/>
                <w:lang w:eastAsia="en-GB"/>
              </w:rPr>
              <w:t>Secure tenure rights</w:t>
            </w:r>
            <w:r w:rsidRPr="00193583">
              <w:rPr>
                <w:rFonts w:eastAsia="Times New Roman" w:cs="Times New Roman"/>
                <w:sz w:val="21"/>
                <w:szCs w:val="21"/>
                <w:lang w:eastAsia="en-GB"/>
              </w:rPr>
              <w:t xml:space="preserve">: comprised of two sub-components: (i) legally recognized documentation and (ii) perception of the security of tenure, which are both necessary to provide a full measurement of tenure security. </w:t>
            </w:r>
          </w:p>
          <w:p w14:paraId="7F6468D8" w14:textId="77777777" w:rsidR="00D935DB" w:rsidRPr="00193583" w:rsidRDefault="00D935DB" w:rsidP="00193583">
            <w:pPr>
              <w:shd w:val="clear" w:color="auto" w:fill="FFFFFF"/>
              <w:jc w:val="both"/>
              <w:rPr>
                <w:rFonts w:eastAsia="Times New Roman" w:cs="Times New Roman"/>
                <w:sz w:val="21"/>
                <w:szCs w:val="21"/>
                <w:lang w:eastAsia="en-GB"/>
              </w:rPr>
            </w:pPr>
          </w:p>
          <w:p w14:paraId="4A171FC7" w14:textId="6D87906B" w:rsidR="00D935DB" w:rsidRPr="00193583" w:rsidRDefault="00D935DB" w:rsidP="00193583">
            <w:pPr>
              <w:shd w:val="clear" w:color="auto" w:fill="FFFFFF"/>
              <w:jc w:val="both"/>
              <w:rPr>
                <w:rFonts w:eastAsia="Times New Roman" w:cs="Times New Roman"/>
                <w:sz w:val="21"/>
                <w:szCs w:val="21"/>
                <w:lang w:eastAsia="en-GB"/>
              </w:rPr>
            </w:pPr>
            <w:r w:rsidRPr="00193583">
              <w:rPr>
                <w:rFonts w:eastAsia="Times New Roman" w:cs="Times New Roman"/>
                <w:b/>
                <w:bCs/>
                <w:sz w:val="21"/>
                <w:szCs w:val="21"/>
                <w:lang w:eastAsia="en-GB"/>
              </w:rPr>
              <w:t>Legally recognized documentation</w:t>
            </w:r>
            <w:r w:rsidRPr="00193583">
              <w:rPr>
                <w:rFonts w:eastAsia="Times New Roman" w:cs="Times New Roman"/>
                <w:sz w:val="21"/>
                <w:szCs w:val="21"/>
                <w:lang w:eastAsia="en-GB"/>
              </w:rPr>
              <w:t xml:space="preserve">: Legal documentation of rights refers to the recording and publication of information on the nature and location of land, rights and right holders in a form that is recognized by </w:t>
            </w:r>
            <w:r w:rsidR="000574D5" w:rsidRPr="00193583">
              <w:rPr>
                <w:rFonts w:eastAsia="Times New Roman" w:cs="Times New Roman"/>
                <w:sz w:val="21"/>
                <w:szCs w:val="21"/>
                <w:lang w:eastAsia="en-GB"/>
              </w:rPr>
              <w:t>government and</w:t>
            </w:r>
            <w:r w:rsidRPr="00193583">
              <w:rPr>
                <w:rFonts w:eastAsia="Times New Roman" w:cs="Times New Roman"/>
                <w:sz w:val="21"/>
                <w:szCs w:val="21"/>
                <w:lang w:eastAsia="en-GB"/>
              </w:rPr>
              <w:t xml:space="preserve"> is therefore official.  For purposes of computing SDG Indicator 1.4.2, the country specific metadata will define what documentation on land rights will be counted as legally recognized (see next section for rationale). </w:t>
            </w:r>
          </w:p>
          <w:p w14:paraId="742AF220" w14:textId="77777777" w:rsidR="00D935DB" w:rsidRPr="00193583" w:rsidRDefault="00D935DB" w:rsidP="00193583">
            <w:pPr>
              <w:shd w:val="clear" w:color="auto" w:fill="FFFFFF"/>
              <w:jc w:val="both"/>
              <w:rPr>
                <w:rFonts w:eastAsia="Times New Roman" w:cs="Times New Roman"/>
                <w:sz w:val="21"/>
                <w:szCs w:val="21"/>
                <w:lang w:eastAsia="en-GB"/>
              </w:rPr>
            </w:pPr>
          </w:p>
          <w:p w14:paraId="2E97B7DA" w14:textId="77777777" w:rsidR="00D935DB" w:rsidRPr="00193583" w:rsidRDefault="00D935DB" w:rsidP="00193583">
            <w:pPr>
              <w:shd w:val="clear" w:color="auto" w:fill="FFFFFF"/>
              <w:jc w:val="both"/>
              <w:rPr>
                <w:rFonts w:eastAsia="Times New Roman" w:cs="Times New Roman"/>
                <w:sz w:val="21"/>
                <w:szCs w:val="21"/>
                <w:lang w:eastAsia="en-GB"/>
              </w:rPr>
            </w:pPr>
            <w:r w:rsidRPr="00193583">
              <w:rPr>
                <w:rFonts w:eastAsia="Times New Roman" w:cs="Times New Roman"/>
                <w:b/>
                <w:bCs/>
                <w:sz w:val="21"/>
                <w:szCs w:val="21"/>
                <w:lang w:eastAsia="en-GB"/>
              </w:rPr>
              <w:t>Perceived security of tenure</w:t>
            </w:r>
            <w:r w:rsidRPr="00193583">
              <w:rPr>
                <w:rFonts w:eastAsia="Times New Roman" w:cs="Times New Roman"/>
                <w:sz w:val="21"/>
                <w:szCs w:val="21"/>
                <w:lang w:eastAsia="en-GB"/>
              </w:rPr>
              <w:t xml:space="preserve">: Perception of tenure security refers to an individual’s perception of the likelihood of involuntary loss of land, such as disagreement of the ownership rights over land or ability to use it, regardless of </w:t>
            </w:r>
            <w:r w:rsidRPr="00193583">
              <w:rPr>
                <w:rFonts w:eastAsia="Times New Roman" w:cs="Times New Roman"/>
                <w:sz w:val="21"/>
                <w:szCs w:val="21"/>
                <w:lang w:eastAsia="en-GB"/>
              </w:rPr>
              <w:lastRenderedPageBreak/>
              <w:t xml:space="preserve">the formal status and can be more optimistic or pessimistic. Although those without land rights’ documentation may frequently be perceived to be under threat, and those with documentation perceived as protected, there may be situations where documented land rights alone are insufficient to guarantee tenure security. Conversely, even without legally recognized documentation, individuals may feel themselves to be protected against eviction or dispossession. Therefore, capturing and </w:t>
            </w:r>
            <w:proofErr w:type="spellStart"/>
            <w:r w:rsidRPr="00193583">
              <w:rPr>
                <w:rFonts w:eastAsia="Times New Roman" w:cs="Times New Roman"/>
                <w:sz w:val="21"/>
                <w:szCs w:val="21"/>
                <w:lang w:eastAsia="en-GB"/>
              </w:rPr>
              <w:t>analysing</w:t>
            </w:r>
            <w:proofErr w:type="spellEnd"/>
            <w:r w:rsidRPr="00193583">
              <w:rPr>
                <w:rFonts w:eastAsia="Times New Roman" w:cs="Times New Roman"/>
                <w:sz w:val="21"/>
                <w:szCs w:val="21"/>
                <w:lang w:eastAsia="en-GB"/>
              </w:rPr>
              <w:t xml:space="preserve"> these diverse ranges of situations will enable a more comprehensive understanding of land tenure security, based on a country specific context.  </w:t>
            </w:r>
          </w:p>
          <w:p w14:paraId="599BDC74" w14:textId="77777777" w:rsidR="00566860" w:rsidRPr="00193583" w:rsidRDefault="00566860" w:rsidP="00193583">
            <w:pPr>
              <w:spacing w:after="160" w:line="259" w:lineRule="auto"/>
              <w:jc w:val="both"/>
            </w:pPr>
          </w:p>
          <w:p w14:paraId="506ADDA0" w14:textId="77777777" w:rsidR="00566860" w:rsidRPr="00193583" w:rsidRDefault="00566860" w:rsidP="00193583">
            <w:pPr>
              <w:spacing w:after="160" w:line="259" w:lineRule="auto"/>
              <w:jc w:val="both"/>
            </w:pPr>
            <w:r w:rsidRPr="00193583">
              <w:t xml:space="preserve">Computation method: </w:t>
            </w:r>
          </w:p>
          <w:p w14:paraId="383672C1" w14:textId="77777777" w:rsidR="00D935DB" w:rsidRPr="00193583" w:rsidRDefault="00D935DB" w:rsidP="00193583">
            <w:pPr>
              <w:spacing w:before="120"/>
              <w:jc w:val="both"/>
              <w:rPr>
                <w:rFonts w:cs="Times New Roman"/>
                <w:sz w:val="21"/>
                <w:szCs w:val="21"/>
              </w:rPr>
            </w:pPr>
            <w:r w:rsidRPr="00193583">
              <w:rPr>
                <w:rFonts w:cs="Times New Roman"/>
                <w:sz w:val="21"/>
                <w:szCs w:val="21"/>
              </w:rPr>
              <w:t xml:space="preserve">Indicator 1.4.2 is composed of two parts: (A) measures the incidence of adults with legally recognized documentation over land among the total adult population; while (B) focuses on the incidence of adults who report having perceived secure rights to land among the adult population. Part (A) and part (B) provide two complementary data sets on security of tenure rights, needed for measuring the indicator. </w:t>
            </w:r>
          </w:p>
          <w:p w14:paraId="1BDD31C1" w14:textId="77777777" w:rsidR="00D935DB" w:rsidRPr="00193583" w:rsidRDefault="00D935DB" w:rsidP="00193583">
            <w:pPr>
              <w:pStyle w:val="ListParagraph"/>
              <w:jc w:val="both"/>
              <w:rPr>
                <w:rFonts w:cs="Times New Roman"/>
                <w:b/>
                <w:i/>
                <w:sz w:val="21"/>
                <w:szCs w:val="21"/>
              </w:rPr>
            </w:pPr>
          </w:p>
          <w:p w14:paraId="0FCA7236" w14:textId="77777777" w:rsidR="00D935DB" w:rsidRPr="00193583" w:rsidRDefault="00D935DB" w:rsidP="00193583">
            <w:pPr>
              <w:ind w:left="360"/>
              <w:jc w:val="both"/>
              <w:rPr>
                <w:sz w:val="21"/>
                <w:szCs w:val="21"/>
              </w:rPr>
            </w:pPr>
            <w:r w:rsidRPr="00193583">
              <w:rPr>
                <w:sz w:val="21"/>
                <w:szCs w:val="21"/>
              </w:rPr>
              <w:t xml:space="preserve">Part (A):  </w:t>
            </w:r>
            <m:oMath>
              <m:f>
                <m:fPr>
                  <m:ctrlPr>
                    <w:rPr>
                      <w:rFonts w:ascii="Cambria Math" w:hAnsi="Cambria Math"/>
                      <w:i/>
                      <w:sz w:val="21"/>
                      <w:szCs w:val="21"/>
                    </w:rPr>
                  </m:ctrlPr>
                </m:fPr>
                <m:num>
                  <m:r>
                    <w:rPr>
                      <w:rFonts w:ascii="Cambria Math" w:hAnsi="Cambria Math"/>
                      <w:sz w:val="21"/>
                      <w:szCs w:val="21"/>
                    </w:rPr>
                    <m:t>People (Adult) with legally recognized documentation over land</m:t>
                  </m:r>
                </m:num>
                <m:den>
                  <m:r>
                    <w:rPr>
                      <w:rFonts w:ascii="Cambria Math" w:hAnsi="Cambria Math"/>
                      <w:sz w:val="21"/>
                      <w:szCs w:val="21"/>
                    </w:rPr>
                    <m:t xml:space="preserve">Total adult population </m:t>
                  </m:r>
                </m:den>
              </m:f>
            </m:oMath>
            <w:r w:rsidRPr="00193583">
              <w:rPr>
                <w:sz w:val="21"/>
                <w:szCs w:val="21"/>
              </w:rPr>
              <w:t xml:space="preserve"> X 100</w:t>
            </w:r>
          </w:p>
          <w:p w14:paraId="648C44D3" w14:textId="77777777" w:rsidR="00D935DB" w:rsidRPr="00193583" w:rsidRDefault="00D935DB" w:rsidP="00193583">
            <w:pPr>
              <w:ind w:left="360"/>
              <w:jc w:val="both"/>
              <w:rPr>
                <w:sz w:val="21"/>
                <w:szCs w:val="21"/>
              </w:rPr>
            </w:pPr>
            <w:r w:rsidRPr="00193583">
              <w:rPr>
                <w:sz w:val="21"/>
                <w:szCs w:val="21"/>
              </w:rPr>
              <w:t xml:space="preserve">Part (B): </w:t>
            </w:r>
            <m:oMath>
              <m:f>
                <m:fPr>
                  <m:ctrlPr>
                    <w:rPr>
                      <w:rFonts w:ascii="Cambria Math" w:hAnsi="Cambria Math"/>
                      <w:i/>
                      <w:sz w:val="21"/>
                      <w:szCs w:val="21"/>
                    </w:rPr>
                  </m:ctrlPr>
                </m:fPr>
                <m:num>
                  <m:r>
                    <w:rPr>
                      <w:rFonts w:ascii="Cambria Math" w:hAnsi="Cambria Math"/>
                      <w:sz w:val="21"/>
                      <w:szCs w:val="21"/>
                    </w:rPr>
                    <m:t xml:space="preserve">People </m:t>
                  </m:r>
                  <m:d>
                    <m:dPr>
                      <m:ctrlPr>
                        <w:rPr>
                          <w:rFonts w:ascii="Cambria Math" w:hAnsi="Cambria Math"/>
                          <w:i/>
                          <w:sz w:val="21"/>
                          <w:szCs w:val="21"/>
                        </w:rPr>
                      </m:ctrlPr>
                    </m:dPr>
                    <m:e>
                      <m:r>
                        <w:rPr>
                          <w:rFonts w:ascii="Cambria Math" w:hAnsi="Cambria Math"/>
                          <w:sz w:val="21"/>
                          <w:szCs w:val="21"/>
                        </w:rPr>
                        <m:t>adult</m:t>
                      </m:r>
                    </m:e>
                  </m:d>
                  <m:r>
                    <w:rPr>
                      <w:rFonts w:ascii="Cambria Math" w:hAnsi="Cambria Math"/>
                      <w:sz w:val="21"/>
                      <w:szCs w:val="21"/>
                    </w:rPr>
                    <m:t>who perceive their rights as secure</m:t>
                  </m:r>
                </m:num>
                <m:den>
                  <m:r>
                    <w:rPr>
                      <w:rFonts w:ascii="Cambria Math" w:hAnsi="Cambria Math"/>
                      <w:sz w:val="21"/>
                      <w:szCs w:val="21"/>
                    </w:rPr>
                    <m:t xml:space="preserve">Total adult population </m:t>
                  </m:r>
                </m:den>
              </m:f>
            </m:oMath>
            <w:r w:rsidRPr="00193583">
              <w:rPr>
                <w:sz w:val="21"/>
                <w:szCs w:val="21"/>
              </w:rPr>
              <w:t xml:space="preserve"> x 100</w:t>
            </w:r>
          </w:p>
          <w:p w14:paraId="4B65305F" w14:textId="5AE64ED3" w:rsidR="00D935DB" w:rsidRPr="00566860" w:rsidRDefault="00D935DB" w:rsidP="00F959ED">
            <w:pPr>
              <w:spacing w:after="160" w:line="259" w:lineRule="auto"/>
              <w:jc w:val="both"/>
              <w:rPr>
                <w:b/>
                <w:bCs/>
              </w:rPr>
            </w:pPr>
          </w:p>
        </w:tc>
        <w:tc>
          <w:tcPr>
            <w:tcW w:w="6804" w:type="dxa"/>
          </w:tcPr>
          <w:p w14:paraId="6E971DAF" w14:textId="77777777" w:rsidR="002D393B" w:rsidRDefault="002D393B" w:rsidP="00F959ED">
            <w:pPr>
              <w:jc w:val="both"/>
            </w:pPr>
            <w:r>
              <w:lastRenderedPageBreak/>
              <w:t>Q0. Do you use, own, or hold use rights for any parcel of land, either alone or jointly with someone else, irrespective of whether the parcel is used by your or another household, and irrespective of the use of the parcel (including dwelling plot, agricultural, pastoral, forest and business/commercial plots)?</w:t>
            </w:r>
          </w:p>
          <w:p w14:paraId="5270A3BB" w14:textId="38F8858C" w:rsidR="002D393B" w:rsidRDefault="002D393B" w:rsidP="00193583">
            <w:pPr>
              <w:pStyle w:val="ListParagraph"/>
              <w:numPr>
                <w:ilvl w:val="0"/>
                <w:numId w:val="5"/>
              </w:numPr>
              <w:jc w:val="both"/>
            </w:pPr>
            <w:r>
              <w:t>Yes</w:t>
            </w:r>
            <w:r w:rsidR="00193583">
              <w:t xml:space="preserve">       </w:t>
            </w:r>
            <w:r>
              <w:t>-</w:t>
            </w:r>
            <w:r>
              <w:tab/>
            </w:r>
            <w:r w:rsidR="00193583">
              <w:t xml:space="preserve"> </w:t>
            </w:r>
            <w:r>
              <w:t>No (questions end)</w:t>
            </w:r>
          </w:p>
          <w:p w14:paraId="464612CD" w14:textId="77777777" w:rsidR="002D393B" w:rsidRDefault="002D393B" w:rsidP="00F959ED">
            <w:pPr>
              <w:jc w:val="both"/>
            </w:pPr>
          </w:p>
          <w:p w14:paraId="094C2276" w14:textId="77777777" w:rsidR="002D393B" w:rsidRDefault="002D393B" w:rsidP="00F959ED">
            <w:pPr>
              <w:jc w:val="both"/>
            </w:pPr>
            <w:r>
              <w:t>Q1. Parcel name</w:t>
            </w:r>
          </w:p>
          <w:p w14:paraId="48D2B021" w14:textId="77777777" w:rsidR="002D393B" w:rsidRDefault="002D393B" w:rsidP="00F959ED">
            <w:pPr>
              <w:jc w:val="both"/>
            </w:pPr>
          </w:p>
          <w:p w14:paraId="55BBC2B8" w14:textId="77777777" w:rsidR="002D393B" w:rsidRDefault="002D393B" w:rsidP="00F959ED">
            <w:pPr>
              <w:jc w:val="both"/>
            </w:pPr>
            <w:r>
              <w:t>Q2. Do you use, own, or hold use rights for this [PARCEL], either alone or jointly with someone else?</w:t>
            </w:r>
          </w:p>
          <w:p w14:paraId="28609845" w14:textId="4BD103C1" w:rsidR="002D393B" w:rsidRDefault="002D393B" w:rsidP="00193583">
            <w:pPr>
              <w:pStyle w:val="ListParagraph"/>
              <w:numPr>
                <w:ilvl w:val="0"/>
                <w:numId w:val="5"/>
              </w:numPr>
              <w:jc w:val="both"/>
            </w:pPr>
            <w:r>
              <w:t>Yes</w:t>
            </w:r>
            <w:r w:rsidR="00193583">
              <w:t xml:space="preserve">        </w:t>
            </w:r>
            <w:r>
              <w:t>-</w:t>
            </w:r>
            <w:r w:rsidR="00193583">
              <w:t xml:space="preserve"> </w:t>
            </w:r>
            <w:r>
              <w:t>No (next parcel)</w:t>
            </w:r>
          </w:p>
          <w:p w14:paraId="1CBE5966" w14:textId="2C89EDE3" w:rsidR="002D393B" w:rsidRDefault="00193583" w:rsidP="00F959ED">
            <w:pPr>
              <w:jc w:val="both"/>
            </w:pPr>
            <w:r>
              <w:t xml:space="preserve"> </w:t>
            </w:r>
          </w:p>
          <w:p w14:paraId="4D7858B9" w14:textId="77777777" w:rsidR="002D393B" w:rsidRDefault="002D393B" w:rsidP="00F959ED">
            <w:pPr>
              <w:jc w:val="both"/>
            </w:pPr>
            <w:r>
              <w:t>Q3. Is there a document for this [PARCEL] issued by or registered at the Land Registry/ Cadastral Agency, such as a title deed, certificate of ownership, certificate of hereditary acquisition, lease or rental contract?</w:t>
            </w:r>
          </w:p>
          <w:p w14:paraId="545DAE28" w14:textId="0EA8BFA5" w:rsidR="002D393B" w:rsidRDefault="002D393B" w:rsidP="00193583">
            <w:pPr>
              <w:pStyle w:val="ListParagraph"/>
              <w:numPr>
                <w:ilvl w:val="0"/>
                <w:numId w:val="5"/>
              </w:numPr>
              <w:jc w:val="both"/>
            </w:pPr>
            <w:r>
              <w:t>Yes</w:t>
            </w:r>
            <w:r w:rsidR="00193583">
              <w:t xml:space="preserve">          </w:t>
            </w:r>
            <w:r>
              <w:t>-</w:t>
            </w:r>
            <w:r w:rsidR="00193583">
              <w:t xml:space="preserve"> </w:t>
            </w:r>
            <w:r>
              <w:t>No (go to Q5)</w:t>
            </w:r>
          </w:p>
          <w:p w14:paraId="28EF26B9" w14:textId="77777777" w:rsidR="002D393B" w:rsidRDefault="002D393B" w:rsidP="00F959ED">
            <w:pPr>
              <w:jc w:val="both"/>
            </w:pPr>
          </w:p>
          <w:p w14:paraId="79AD5A26" w14:textId="77777777" w:rsidR="002D393B" w:rsidRDefault="002D393B" w:rsidP="00F959ED">
            <w:pPr>
              <w:jc w:val="both"/>
            </w:pPr>
            <w:r>
              <w:t>Q4. What type of documents are there for this [PARCEL], and is your name listed on any of the documents as owner or right use holder? List up to 3 and show photo aid</w:t>
            </w:r>
          </w:p>
          <w:p w14:paraId="0A6866EF" w14:textId="77777777" w:rsidR="002D393B" w:rsidRDefault="002D393B" w:rsidP="00F959ED">
            <w:pPr>
              <w:jc w:val="both"/>
            </w:pPr>
            <w:r>
              <w:lastRenderedPageBreak/>
              <w:t xml:space="preserve">1- Title deed </w:t>
            </w:r>
          </w:p>
          <w:p w14:paraId="62418D81" w14:textId="77777777" w:rsidR="002D393B" w:rsidRDefault="002D393B" w:rsidP="00F959ED">
            <w:pPr>
              <w:jc w:val="both"/>
            </w:pPr>
            <w:r>
              <w:t xml:space="preserve">2- Certificate of customary ownership </w:t>
            </w:r>
          </w:p>
          <w:p w14:paraId="07DE6DED" w14:textId="77777777" w:rsidR="002D393B" w:rsidRDefault="002D393B" w:rsidP="00F959ED">
            <w:pPr>
              <w:jc w:val="both"/>
            </w:pPr>
            <w:r>
              <w:t xml:space="preserve">3- Certificate of occupancy </w:t>
            </w:r>
          </w:p>
          <w:p w14:paraId="7B2BCB53" w14:textId="77777777" w:rsidR="002D393B" w:rsidRDefault="002D393B" w:rsidP="00F959ED">
            <w:pPr>
              <w:jc w:val="both"/>
            </w:pPr>
            <w:r>
              <w:t>4- Certificate of hereditary acquisition listed in registry</w:t>
            </w:r>
          </w:p>
          <w:p w14:paraId="5A243220" w14:textId="77777777" w:rsidR="002D393B" w:rsidRDefault="002D393B" w:rsidP="00F959ED">
            <w:pPr>
              <w:jc w:val="both"/>
            </w:pPr>
            <w:r>
              <w:t xml:space="preserve">5- Survey plan </w:t>
            </w:r>
          </w:p>
          <w:p w14:paraId="39A3E2F2" w14:textId="77777777" w:rsidR="002D393B" w:rsidRDefault="002D393B" w:rsidP="00F959ED">
            <w:pPr>
              <w:jc w:val="both"/>
            </w:pPr>
            <w:r>
              <w:t xml:space="preserve">6- Rental contract, registered </w:t>
            </w:r>
          </w:p>
          <w:p w14:paraId="5F463847" w14:textId="77777777" w:rsidR="002D393B" w:rsidRDefault="002D393B" w:rsidP="00F959ED">
            <w:pPr>
              <w:jc w:val="both"/>
            </w:pPr>
            <w:r>
              <w:t xml:space="preserve">7- Leased, registered </w:t>
            </w:r>
          </w:p>
          <w:p w14:paraId="23E9D7E2" w14:textId="77777777" w:rsidR="002D393B" w:rsidRDefault="002D393B" w:rsidP="00F959ED">
            <w:pPr>
              <w:jc w:val="both"/>
            </w:pPr>
            <w:r>
              <w:t xml:space="preserve">8- Other (specify) </w:t>
            </w:r>
          </w:p>
          <w:p w14:paraId="5D0BB5A4" w14:textId="77777777" w:rsidR="002D393B" w:rsidRDefault="002D393B" w:rsidP="00F959ED">
            <w:pPr>
              <w:jc w:val="both"/>
            </w:pPr>
          </w:p>
          <w:p w14:paraId="25444BCA" w14:textId="77777777" w:rsidR="002D393B" w:rsidRDefault="002D393B" w:rsidP="00F959ED">
            <w:pPr>
              <w:jc w:val="both"/>
            </w:pPr>
            <w:r>
              <w:t>Q5. Do you have the right to sell any of the agricultural land you own or hold use rights to, either alone or jointly with someone else?</w:t>
            </w:r>
          </w:p>
          <w:p w14:paraId="03E20C65" w14:textId="4B7E4C7F" w:rsidR="002D393B" w:rsidRDefault="00193583" w:rsidP="00F959ED">
            <w:pPr>
              <w:jc w:val="both"/>
            </w:pPr>
            <w:r>
              <w:t>-Yes     - No     - DK    - Refusal</w:t>
            </w:r>
          </w:p>
          <w:p w14:paraId="4749780E" w14:textId="77777777" w:rsidR="00193583" w:rsidRDefault="00193583" w:rsidP="00F959ED">
            <w:pPr>
              <w:jc w:val="both"/>
            </w:pPr>
          </w:p>
          <w:p w14:paraId="1202358B" w14:textId="77777777" w:rsidR="002D393B" w:rsidRDefault="002D393B" w:rsidP="00F959ED">
            <w:pPr>
              <w:jc w:val="both"/>
            </w:pPr>
            <w:r>
              <w:t>Q6. Do you have the right to bequeath any of the agricultural land you own or hold use rights to, either alone or jointly with someone else?</w:t>
            </w:r>
          </w:p>
          <w:p w14:paraId="40FC9162" w14:textId="3762DBC7" w:rsidR="002D393B" w:rsidRDefault="00193583" w:rsidP="00F959ED">
            <w:pPr>
              <w:jc w:val="both"/>
            </w:pPr>
            <w:r>
              <w:t>-Yes     - No     - DK    - Refusal</w:t>
            </w:r>
          </w:p>
          <w:p w14:paraId="66962540" w14:textId="77777777" w:rsidR="00193583" w:rsidRDefault="00193583" w:rsidP="00F959ED">
            <w:pPr>
              <w:jc w:val="both"/>
            </w:pPr>
          </w:p>
          <w:p w14:paraId="346245CD" w14:textId="77777777" w:rsidR="002D393B" w:rsidRDefault="002D393B" w:rsidP="00F959ED">
            <w:pPr>
              <w:jc w:val="both"/>
            </w:pPr>
            <w:r>
              <w:t>Q7. On a scale from 1 to 5, where 1 is not at all likely and 5 is extremely likely, how likely are you to involuntarily lose ownership or use rights to any of the agricultural land you own or hold use rights to in the next 5 years?</w:t>
            </w:r>
          </w:p>
          <w:p w14:paraId="0CB09387" w14:textId="15435C10" w:rsidR="00566860" w:rsidRPr="00AF627B" w:rsidRDefault="00193583" w:rsidP="00193583">
            <w:pPr>
              <w:jc w:val="both"/>
            </w:pPr>
            <w:r>
              <w:t>-Yes     - No     - DK    - Refusal</w:t>
            </w:r>
          </w:p>
        </w:tc>
      </w:tr>
      <w:tr w:rsidR="00566860" w:rsidRPr="00566860" w14:paraId="29C5960D" w14:textId="77777777" w:rsidTr="003E1B6F">
        <w:tc>
          <w:tcPr>
            <w:tcW w:w="1917" w:type="dxa"/>
          </w:tcPr>
          <w:p w14:paraId="59258608" w14:textId="77777777" w:rsidR="00566860" w:rsidRPr="00566860" w:rsidRDefault="00566860" w:rsidP="00566860">
            <w:pPr>
              <w:spacing w:after="160" w:line="259" w:lineRule="auto"/>
            </w:pPr>
            <w:r w:rsidRPr="00566860">
              <w:lastRenderedPageBreak/>
              <w:t xml:space="preserve">5.a.1 (a) Proportion of total agricultural population with </w:t>
            </w:r>
            <w:r w:rsidRPr="00566860">
              <w:lastRenderedPageBreak/>
              <w:t>ownership or secure rights over agricultural land, by sex; and (b) share of women among owners or rights-bearers of agricultural land, by type of tenure</w:t>
            </w:r>
          </w:p>
        </w:tc>
        <w:tc>
          <w:tcPr>
            <w:tcW w:w="1665" w:type="dxa"/>
          </w:tcPr>
          <w:p w14:paraId="32787729" w14:textId="4085FCB6" w:rsidR="00566860" w:rsidRPr="00566860" w:rsidRDefault="00566860" w:rsidP="00C71DE1">
            <w:pPr>
              <w:spacing w:after="160" w:line="259" w:lineRule="auto"/>
            </w:pPr>
            <w:r w:rsidRPr="00566860">
              <w:lastRenderedPageBreak/>
              <w:t>Main source:</w:t>
            </w:r>
            <w:r w:rsidR="00C71DE1">
              <w:t xml:space="preserve"> </w:t>
            </w:r>
            <w:r w:rsidRPr="00566860">
              <w:t xml:space="preserve">HBS, LSMS, LFS, Living conditions </w:t>
            </w:r>
            <w:r w:rsidRPr="00566860">
              <w:lastRenderedPageBreak/>
              <w:t>surveys, DHS, MICS, Multi-purpose household survey</w:t>
            </w:r>
          </w:p>
          <w:p w14:paraId="52803DC7" w14:textId="77777777" w:rsidR="00566860" w:rsidRPr="00566860" w:rsidRDefault="00566860" w:rsidP="00566860">
            <w:pPr>
              <w:spacing w:after="160" w:line="259" w:lineRule="auto"/>
            </w:pPr>
          </w:p>
          <w:p w14:paraId="49400394" w14:textId="2C95EB28" w:rsidR="00566860" w:rsidRPr="00566860" w:rsidRDefault="00566860" w:rsidP="00C71DE1">
            <w:pPr>
              <w:spacing w:after="160" w:line="259" w:lineRule="auto"/>
            </w:pPr>
            <w:r w:rsidRPr="00566860">
              <w:t>Second source:</w:t>
            </w:r>
            <w:r w:rsidR="00C71DE1">
              <w:t xml:space="preserve"> </w:t>
            </w:r>
            <w:r w:rsidRPr="00566860">
              <w:t>Population and housing censuses, agriculture survey</w:t>
            </w:r>
          </w:p>
        </w:tc>
        <w:tc>
          <w:tcPr>
            <w:tcW w:w="2934" w:type="dxa"/>
          </w:tcPr>
          <w:p w14:paraId="37D62739" w14:textId="77777777" w:rsidR="00566860" w:rsidRPr="005E675D" w:rsidRDefault="00566860" w:rsidP="00F959ED">
            <w:pPr>
              <w:spacing w:after="160" w:line="259" w:lineRule="auto"/>
              <w:jc w:val="both"/>
            </w:pPr>
            <w:r w:rsidRPr="005E675D">
              <w:lastRenderedPageBreak/>
              <w:t xml:space="preserve">Agricultural land includes: • land under temporary crops • land under temporary meadows and pastures • land temporarily fallow • land under permanent crops • land under permanent meadows and pastures It excludes: • </w:t>
            </w:r>
            <w:r w:rsidRPr="005E675D">
              <w:lastRenderedPageBreak/>
              <w:t>land under farm buildings and farmyards • forest and other wooded land • area used for aquaculture (including inland and coastal waters if part of the holding) • other area not elsewhere classified.</w:t>
            </w:r>
          </w:p>
          <w:p w14:paraId="2DAB831C" w14:textId="77777777" w:rsidR="00566860" w:rsidRPr="005E675D" w:rsidRDefault="00566860" w:rsidP="00F959ED">
            <w:pPr>
              <w:spacing w:after="160" w:line="259" w:lineRule="auto"/>
              <w:jc w:val="both"/>
            </w:pPr>
          </w:p>
          <w:p w14:paraId="27D19500" w14:textId="77777777" w:rsidR="00566860" w:rsidRPr="005E675D" w:rsidRDefault="00566860" w:rsidP="00F959ED">
            <w:pPr>
              <w:spacing w:after="160" w:line="259" w:lineRule="auto"/>
              <w:jc w:val="both"/>
            </w:pPr>
            <w:r w:rsidRPr="005E675D">
              <w:t>1)Presence of legally recognized documents in the name of the individual:</w:t>
            </w:r>
          </w:p>
          <w:p w14:paraId="2E4DF3F2" w14:textId="77777777" w:rsidR="00566860" w:rsidRPr="005E675D" w:rsidRDefault="00566860" w:rsidP="00F959ED">
            <w:pPr>
              <w:spacing w:after="160" w:line="259" w:lineRule="auto"/>
              <w:jc w:val="both"/>
            </w:pPr>
            <w:r w:rsidRPr="005E675D">
              <w:t>• Title deed: “a written or printed instrument that effects a legal disposition”</w:t>
            </w:r>
          </w:p>
          <w:p w14:paraId="7F9467AC" w14:textId="77777777" w:rsidR="00566860" w:rsidRPr="005E675D" w:rsidRDefault="00566860" w:rsidP="00F959ED">
            <w:pPr>
              <w:spacing w:after="160" w:line="259" w:lineRule="auto"/>
              <w:jc w:val="both"/>
            </w:pPr>
            <w:r w:rsidRPr="005E675D">
              <w:t xml:space="preserve"> • Certificate of occupancy or land certificate “A land certificate is a certified copy of an entry in a land title system and provides proof of the ownership and of encumbrances on the land at that time”</w:t>
            </w:r>
          </w:p>
          <w:p w14:paraId="7B5A2CBD" w14:textId="77777777" w:rsidR="00566860" w:rsidRPr="005E675D" w:rsidRDefault="00566860" w:rsidP="00F959ED">
            <w:pPr>
              <w:spacing w:after="160" w:line="259" w:lineRule="auto"/>
              <w:jc w:val="both"/>
            </w:pPr>
            <w:r w:rsidRPr="005E675D">
              <w:t xml:space="preserve"> • Purchase agreement: a contract between a seller and a buyer to dispose of land </w:t>
            </w:r>
          </w:p>
          <w:p w14:paraId="4D734738" w14:textId="77777777" w:rsidR="00566860" w:rsidRPr="005E675D" w:rsidRDefault="00566860" w:rsidP="00F959ED">
            <w:pPr>
              <w:spacing w:after="160" w:line="259" w:lineRule="auto"/>
              <w:jc w:val="both"/>
            </w:pPr>
            <w:r w:rsidRPr="005E675D">
              <w:t xml:space="preserve">• Registered certificate of hereditary acquisition </w:t>
            </w:r>
          </w:p>
          <w:p w14:paraId="5A801339" w14:textId="77777777" w:rsidR="00566860" w:rsidRPr="005E675D" w:rsidRDefault="00566860" w:rsidP="00F959ED">
            <w:pPr>
              <w:spacing w:after="160" w:line="259" w:lineRule="auto"/>
              <w:jc w:val="both"/>
            </w:pPr>
            <w:r w:rsidRPr="005E675D">
              <w:t xml:space="preserve">• Certificate of customary tenure: an official state document indicating the owner or holder of the land because customary law has recognized that particular person as the rightful owner. It can be used as proof of legal right over the land. These certificates include, among others, certificates of customary ownership and customary use. </w:t>
            </w:r>
          </w:p>
          <w:p w14:paraId="7E6E506A" w14:textId="77777777" w:rsidR="00566860" w:rsidRPr="005E675D" w:rsidRDefault="00566860" w:rsidP="00F959ED">
            <w:pPr>
              <w:spacing w:after="160" w:line="259" w:lineRule="auto"/>
              <w:jc w:val="both"/>
            </w:pPr>
            <w:r w:rsidRPr="005E675D">
              <w:t xml:space="preserve">• Registered certificate of perpetual / long term lease: “a contractual agreement between a landlord and a tenant for the tenancy of land. A lease or tenancy agreement is </w:t>
            </w:r>
            <w:r w:rsidRPr="005E675D">
              <w:lastRenderedPageBreak/>
              <w:t xml:space="preserve">the contractual document used to create a leasehold interest or tenancy” </w:t>
            </w:r>
          </w:p>
          <w:p w14:paraId="690FE31F" w14:textId="77777777" w:rsidR="00566860" w:rsidRPr="005E675D" w:rsidRDefault="00566860" w:rsidP="00F959ED">
            <w:pPr>
              <w:spacing w:after="160" w:line="259" w:lineRule="auto"/>
              <w:jc w:val="both"/>
            </w:pPr>
            <w:r w:rsidRPr="005E675D">
              <w:t xml:space="preserve">• Registered short term (less than 3 years) rental contract </w:t>
            </w:r>
          </w:p>
          <w:p w14:paraId="21891CC4" w14:textId="4B42B42F" w:rsidR="00566860" w:rsidRPr="005E675D" w:rsidRDefault="00566860" w:rsidP="00F959ED">
            <w:pPr>
              <w:spacing w:after="160" w:line="259" w:lineRule="auto"/>
              <w:jc w:val="both"/>
            </w:pPr>
            <w:r w:rsidRPr="005E675D">
              <w:t xml:space="preserve">• Certificate issued for adverse possession or </w:t>
            </w:r>
            <w:r w:rsidR="00564C32" w:rsidRPr="005E675D">
              <w:t>prescription</w:t>
            </w:r>
            <w:r w:rsidRPr="005E675D">
              <w:t xml:space="preserve"> is a certificate indicating that the adverse possessor acquires the land after a prescribed statutory period.</w:t>
            </w:r>
          </w:p>
          <w:p w14:paraId="24215263" w14:textId="77777777" w:rsidR="00566860" w:rsidRPr="005E675D" w:rsidRDefault="00566860" w:rsidP="00F959ED">
            <w:pPr>
              <w:spacing w:after="160" w:line="259" w:lineRule="auto"/>
              <w:jc w:val="both"/>
            </w:pPr>
            <w:r w:rsidRPr="005E675D">
              <w:t xml:space="preserve">2) Right to sell It refers to the ability of an individual to permanently transfer the asset in question in return for cash or in-kind benefits. </w:t>
            </w:r>
          </w:p>
          <w:p w14:paraId="2D6268DF" w14:textId="77777777" w:rsidR="00566860" w:rsidRPr="005E675D" w:rsidRDefault="00566860" w:rsidP="00F959ED">
            <w:pPr>
              <w:spacing w:after="160" w:line="259" w:lineRule="auto"/>
              <w:jc w:val="both"/>
            </w:pPr>
            <w:r w:rsidRPr="005E675D">
              <w:t>3) Right to bequeath It refers to the ability of an individual to pass on the asset in question to another person(s) after his or her death, by written will, oral will (if recognized by the country) or when the deceased left no will, through intestate succession.</w:t>
            </w:r>
          </w:p>
          <w:p w14:paraId="335E02BD" w14:textId="77777777" w:rsidR="00566860" w:rsidRPr="005E675D" w:rsidRDefault="00566860" w:rsidP="00F959ED">
            <w:pPr>
              <w:spacing w:after="160" w:line="259" w:lineRule="auto"/>
              <w:jc w:val="both"/>
            </w:pPr>
          </w:p>
          <w:p w14:paraId="5B4A42C6" w14:textId="77777777" w:rsidR="00826738" w:rsidRPr="005E675D" w:rsidRDefault="00826738" w:rsidP="00826738">
            <w:pPr>
              <w:pStyle w:val="MText"/>
              <w:rPr>
                <w:color w:val="auto"/>
              </w:rPr>
            </w:pPr>
            <w:r w:rsidRPr="005E675D">
              <w:rPr>
                <w:b/>
                <w:bCs/>
                <w:color w:val="auto"/>
              </w:rPr>
              <w:t>Operationalization of indicator 5.a.1 expressed through mathematical formulas</w:t>
            </w:r>
            <w:r w:rsidRPr="005E675D">
              <w:rPr>
                <w:color w:val="auto"/>
              </w:rPr>
              <w:t xml:space="preserve"> are the following: </w:t>
            </w:r>
          </w:p>
          <w:p w14:paraId="4AF09D5D" w14:textId="77777777" w:rsidR="00826738" w:rsidRPr="005E675D" w:rsidRDefault="00826738" w:rsidP="00826738">
            <w:pPr>
              <w:pStyle w:val="MText"/>
              <w:rPr>
                <w:color w:val="auto"/>
                <w:u w:val="single"/>
              </w:rPr>
            </w:pPr>
            <w:r w:rsidRPr="005E675D">
              <w:rPr>
                <w:color w:val="auto"/>
                <w:u w:val="single"/>
              </w:rPr>
              <w:t xml:space="preserve">Sub-indicator (a) </w:t>
            </w:r>
          </w:p>
          <w:p w14:paraId="699CBACB" w14:textId="2A30BF60" w:rsidR="00826738" w:rsidRPr="005E675D" w:rsidRDefault="00826738" w:rsidP="00826738">
            <w:pPr>
              <w:pStyle w:val="MText"/>
              <w:rPr>
                <w:color w:val="auto"/>
              </w:rPr>
            </w:pPr>
            <w:r w:rsidRPr="005E675D">
              <w:rPr>
                <w:color w:val="auto"/>
              </w:rPr>
              <w:t>Total agricultural population with:</w:t>
            </w:r>
          </w:p>
          <w:p w14:paraId="2B2A887D" w14:textId="65130436" w:rsidR="00826738" w:rsidRPr="005E675D" w:rsidRDefault="00826738" w:rsidP="00826738">
            <w:pPr>
              <w:pStyle w:val="MText"/>
              <w:rPr>
                <w:color w:val="auto"/>
              </w:rPr>
            </w:pPr>
            <w:r w:rsidRPr="005E675D">
              <w:rPr>
                <w:color w:val="auto"/>
              </w:rPr>
              <w:t>Legally recognized document on agricultural land OR the right to sell it OR the right to bequeath it *100 / Total agricultural population, by sex</w:t>
            </w:r>
          </w:p>
          <w:p w14:paraId="25958A3F" w14:textId="02BB4866" w:rsidR="00826738" w:rsidRPr="005E675D" w:rsidRDefault="00826738" w:rsidP="00826738">
            <w:pPr>
              <w:pStyle w:val="MText"/>
              <w:rPr>
                <w:color w:val="auto"/>
                <w:u w:val="single"/>
              </w:rPr>
            </w:pPr>
            <w:r w:rsidRPr="005E675D">
              <w:rPr>
                <w:color w:val="auto"/>
                <w:u w:val="single"/>
              </w:rPr>
              <w:t>Sub-indicator (b)</w:t>
            </w:r>
          </w:p>
          <w:p w14:paraId="1E98FF6B" w14:textId="77777777" w:rsidR="005E675D" w:rsidRPr="005E675D" w:rsidRDefault="005E675D" w:rsidP="005E675D">
            <w:pPr>
              <w:pStyle w:val="MText"/>
              <w:rPr>
                <w:color w:val="auto"/>
              </w:rPr>
            </w:pPr>
            <w:r w:rsidRPr="005E675D">
              <w:rPr>
                <w:color w:val="auto"/>
              </w:rPr>
              <w:t>Number of women in agriculture with:</w:t>
            </w:r>
          </w:p>
          <w:p w14:paraId="5EE912EA" w14:textId="0F4815B9" w:rsidR="005E675D" w:rsidRPr="005E675D" w:rsidRDefault="005E675D" w:rsidP="005E675D">
            <w:pPr>
              <w:pStyle w:val="MText"/>
              <w:rPr>
                <w:color w:val="auto"/>
              </w:rPr>
            </w:pPr>
            <w:r w:rsidRPr="005E675D">
              <w:rPr>
                <w:color w:val="auto"/>
                <w:lang w:val="en-US"/>
              </w:rPr>
              <w:t>Legally recognized document</w:t>
            </w:r>
            <w:r w:rsidRPr="005E675D">
              <w:rPr>
                <w:color w:val="auto"/>
              </w:rPr>
              <w:t xml:space="preserve"> on agricultural land OR the right to sell it OR the right to bequeath it*100/ </w:t>
            </w:r>
            <w:r w:rsidRPr="005E675D">
              <w:rPr>
                <w:color w:val="auto"/>
                <w:lang w:val="en-US"/>
              </w:rPr>
              <w:t>Number of people in agriculture with:</w:t>
            </w:r>
          </w:p>
          <w:p w14:paraId="2E8770F4" w14:textId="125167E1" w:rsidR="005E675D" w:rsidRPr="005E675D" w:rsidRDefault="005E675D" w:rsidP="005E675D">
            <w:pPr>
              <w:pStyle w:val="MText"/>
              <w:rPr>
                <w:color w:val="auto"/>
              </w:rPr>
            </w:pPr>
            <w:r w:rsidRPr="005E675D">
              <w:rPr>
                <w:color w:val="auto"/>
                <w:lang w:val="en-US"/>
              </w:rPr>
              <w:lastRenderedPageBreak/>
              <w:t>Legally recognized document on agricultural land OR the right to sell it OR the right to bequeath it, by type of tenure</w:t>
            </w:r>
          </w:p>
          <w:p w14:paraId="4BADBECC" w14:textId="38A3E252" w:rsidR="00566860" w:rsidRPr="005E675D" w:rsidRDefault="00566860" w:rsidP="00F959ED">
            <w:pPr>
              <w:spacing w:after="160" w:line="259" w:lineRule="auto"/>
              <w:jc w:val="both"/>
              <w:rPr>
                <w:b/>
                <w:bCs/>
                <w:lang w:val="en-GB"/>
              </w:rPr>
            </w:pPr>
          </w:p>
        </w:tc>
        <w:tc>
          <w:tcPr>
            <w:tcW w:w="6804" w:type="dxa"/>
          </w:tcPr>
          <w:p w14:paraId="637D807C" w14:textId="77777777" w:rsidR="00566860" w:rsidRPr="00AF627B" w:rsidRDefault="00566860" w:rsidP="00343E42">
            <w:pPr>
              <w:spacing w:line="259" w:lineRule="auto"/>
              <w:jc w:val="both"/>
            </w:pPr>
            <w:r w:rsidRPr="00AF627B">
              <w:lastRenderedPageBreak/>
              <w:t>Q1. Did this household operate any land (1) for agricultural purposes in the last 12 months?</w:t>
            </w:r>
          </w:p>
          <w:p w14:paraId="651CAA74" w14:textId="72523792" w:rsidR="00566860" w:rsidRPr="00AF627B" w:rsidRDefault="00566860" w:rsidP="00193583">
            <w:pPr>
              <w:numPr>
                <w:ilvl w:val="0"/>
                <w:numId w:val="3"/>
              </w:numPr>
              <w:spacing w:line="259" w:lineRule="auto"/>
              <w:jc w:val="both"/>
            </w:pPr>
            <w:r w:rsidRPr="00AF627B">
              <w:t>Yes</w:t>
            </w:r>
            <w:r w:rsidR="00193583">
              <w:t xml:space="preserve">          - </w:t>
            </w:r>
            <w:r w:rsidRPr="00AF627B">
              <w:t>No (go to Q3)</w:t>
            </w:r>
          </w:p>
          <w:p w14:paraId="381378C6" w14:textId="77777777" w:rsidR="00343E42" w:rsidRDefault="00343E42" w:rsidP="00343E42">
            <w:pPr>
              <w:spacing w:line="259" w:lineRule="auto"/>
              <w:jc w:val="both"/>
            </w:pPr>
          </w:p>
          <w:p w14:paraId="585A50AB" w14:textId="0C692094" w:rsidR="00566860" w:rsidRPr="00AF627B" w:rsidRDefault="00566860" w:rsidP="00343E42">
            <w:pPr>
              <w:spacing w:line="259" w:lineRule="auto"/>
              <w:jc w:val="both"/>
            </w:pPr>
            <w:r w:rsidRPr="00AF627B">
              <w:lastRenderedPageBreak/>
              <w:t>Q2. Was farming performed…</w:t>
            </w:r>
          </w:p>
          <w:p w14:paraId="1BD59AD2" w14:textId="77777777" w:rsidR="00566860" w:rsidRPr="00AF627B" w:rsidRDefault="00566860" w:rsidP="00343E42">
            <w:pPr>
              <w:numPr>
                <w:ilvl w:val="0"/>
                <w:numId w:val="2"/>
              </w:numPr>
              <w:spacing w:line="259" w:lineRule="auto"/>
              <w:jc w:val="both"/>
            </w:pPr>
            <w:r w:rsidRPr="00AF627B">
              <w:t>For use/consumption of the household?</w:t>
            </w:r>
          </w:p>
          <w:p w14:paraId="6CA136F0" w14:textId="77777777" w:rsidR="00566860" w:rsidRPr="00AF627B" w:rsidRDefault="00566860" w:rsidP="00343E42">
            <w:pPr>
              <w:numPr>
                <w:ilvl w:val="0"/>
                <w:numId w:val="2"/>
              </w:numPr>
              <w:spacing w:line="259" w:lineRule="auto"/>
              <w:jc w:val="both"/>
            </w:pPr>
            <w:r w:rsidRPr="00AF627B">
              <w:t>For profit/ trade?</w:t>
            </w:r>
          </w:p>
          <w:p w14:paraId="7FC58E6B" w14:textId="77777777" w:rsidR="00566860" w:rsidRPr="00AF627B" w:rsidRDefault="00566860" w:rsidP="00343E42">
            <w:pPr>
              <w:numPr>
                <w:ilvl w:val="0"/>
                <w:numId w:val="2"/>
              </w:numPr>
              <w:spacing w:line="259" w:lineRule="auto"/>
              <w:jc w:val="both"/>
            </w:pPr>
            <w:r w:rsidRPr="00AF627B">
              <w:t>As wage work for others?</w:t>
            </w:r>
          </w:p>
          <w:p w14:paraId="38F43A30" w14:textId="77777777" w:rsidR="00343E42" w:rsidRDefault="00343E42" w:rsidP="00343E42">
            <w:pPr>
              <w:spacing w:line="259" w:lineRule="auto"/>
              <w:jc w:val="both"/>
            </w:pPr>
          </w:p>
          <w:p w14:paraId="614EF45F" w14:textId="69E60900" w:rsidR="00566860" w:rsidRPr="00AF627B" w:rsidRDefault="00566860" w:rsidP="00343E42">
            <w:pPr>
              <w:spacing w:line="259" w:lineRule="auto"/>
              <w:jc w:val="both"/>
            </w:pPr>
            <w:r w:rsidRPr="00AF627B">
              <w:t>Q3. Did this household raise or tend any livestock (e.g. cattle, goats, etc.) in the last 12 months?</w:t>
            </w:r>
          </w:p>
          <w:p w14:paraId="3AAF4E52" w14:textId="21445128" w:rsidR="00566860" w:rsidRPr="00AF627B" w:rsidRDefault="00566860" w:rsidP="00193583">
            <w:pPr>
              <w:pStyle w:val="ListParagraph"/>
              <w:numPr>
                <w:ilvl w:val="0"/>
                <w:numId w:val="2"/>
              </w:numPr>
              <w:jc w:val="both"/>
            </w:pPr>
            <w:r w:rsidRPr="00AF627B">
              <w:t>Yes</w:t>
            </w:r>
            <w:r w:rsidR="00193583">
              <w:t xml:space="preserve">        - </w:t>
            </w:r>
            <w:r w:rsidRPr="00AF627B">
              <w:t>No (questions end)</w:t>
            </w:r>
          </w:p>
          <w:p w14:paraId="4D41A1B9" w14:textId="77777777" w:rsidR="00343E42" w:rsidRDefault="00343E42" w:rsidP="00343E42">
            <w:pPr>
              <w:spacing w:line="259" w:lineRule="auto"/>
              <w:jc w:val="both"/>
            </w:pPr>
          </w:p>
          <w:p w14:paraId="5D576DD4" w14:textId="7CFE925B" w:rsidR="00566860" w:rsidRPr="00AF627B" w:rsidRDefault="00566860" w:rsidP="00343E42">
            <w:pPr>
              <w:spacing w:line="259" w:lineRule="auto"/>
              <w:jc w:val="both"/>
            </w:pPr>
            <w:r w:rsidRPr="00AF627B">
              <w:t xml:space="preserve">Q4. Was raising/tending livestock performed </w:t>
            </w:r>
          </w:p>
          <w:p w14:paraId="7E1D3C0C" w14:textId="77777777" w:rsidR="00566860" w:rsidRPr="00AF627B" w:rsidRDefault="00566860" w:rsidP="00343E42">
            <w:pPr>
              <w:numPr>
                <w:ilvl w:val="0"/>
                <w:numId w:val="2"/>
              </w:numPr>
              <w:spacing w:line="259" w:lineRule="auto"/>
              <w:jc w:val="both"/>
            </w:pPr>
            <w:r w:rsidRPr="00AF627B">
              <w:t xml:space="preserve"> For use/consumption of the household?</w:t>
            </w:r>
          </w:p>
          <w:p w14:paraId="429596FD" w14:textId="77777777" w:rsidR="00566860" w:rsidRPr="00AF627B" w:rsidRDefault="00566860" w:rsidP="00343E42">
            <w:pPr>
              <w:numPr>
                <w:ilvl w:val="0"/>
                <w:numId w:val="2"/>
              </w:numPr>
              <w:spacing w:line="259" w:lineRule="auto"/>
              <w:jc w:val="both"/>
            </w:pPr>
            <w:r w:rsidRPr="00AF627B">
              <w:t>For profit/ trade?</w:t>
            </w:r>
          </w:p>
          <w:p w14:paraId="7FCE40D9" w14:textId="77777777" w:rsidR="00566860" w:rsidRPr="00AF627B" w:rsidRDefault="00566860" w:rsidP="00343E42">
            <w:pPr>
              <w:numPr>
                <w:ilvl w:val="0"/>
                <w:numId w:val="2"/>
              </w:numPr>
              <w:spacing w:line="259" w:lineRule="auto"/>
              <w:jc w:val="both"/>
            </w:pPr>
            <w:r w:rsidRPr="00AF627B">
              <w:t>As wage work for others?</w:t>
            </w:r>
          </w:p>
          <w:p w14:paraId="06260E48" w14:textId="77777777" w:rsidR="00343E42" w:rsidRDefault="00343E42" w:rsidP="00343E42">
            <w:pPr>
              <w:spacing w:line="259" w:lineRule="auto"/>
              <w:jc w:val="both"/>
            </w:pPr>
          </w:p>
          <w:p w14:paraId="1843F617" w14:textId="4AE67512" w:rsidR="00566860" w:rsidRPr="00AF627B" w:rsidRDefault="00566860" w:rsidP="00343E42">
            <w:pPr>
              <w:spacing w:line="259" w:lineRule="auto"/>
              <w:jc w:val="both"/>
            </w:pPr>
            <w:r w:rsidRPr="00AF627B">
              <w:t>Q0. Do you or does any member of your household use, own, or hold use rights for any parcel of land, either alone or jointly with someone else, irrespective of whether the parcel is used by your or another household, and irrespective of the use of the parcel (including dwelling plot, agricultural, pastoral, forest and business/commercial plots)?</w:t>
            </w:r>
          </w:p>
          <w:p w14:paraId="192EF7CE" w14:textId="70875497" w:rsidR="00566860" w:rsidRPr="00AF627B" w:rsidRDefault="00566860" w:rsidP="00193583">
            <w:pPr>
              <w:numPr>
                <w:ilvl w:val="0"/>
                <w:numId w:val="2"/>
              </w:numPr>
              <w:spacing w:line="259" w:lineRule="auto"/>
              <w:jc w:val="both"/>
            </w:pPr>
            <w:r w:rsidRPr="00AF627B">
              <w:t>Yes</w:t>
            </w:r>
            <w:r w:rsidR="00193583">
              <w:t xml:space="preserve">           - </w:t>
            </w:r>
            <w:r w:rsidRPr="00AF627B">
              <w:t>No (questions end)</w:t>
            </w:r>
          </w:p>
          <w:p w14:paraId="2D6C37E2" w14:textId="77777777" w:rsidR="00566860" w:rsidRPr="00AF627B" w:rsidRDefault="00566860" w:rsidP="00343E42">
            <w:pPr>
              <w:spacing w:line="259" w:lineRule="auto"/>
              <w:jc w:val="both"/>
            </w:pPr>
            <w:r w:rsidRPr="00AF627B">
              <w:t xml:space="preserve">Q2. Do you currently use, own, or hold use rights for any agricultural land (including pastoral land), either alone or jointly with someone else? </w:t>
            </w:r>
          </w:p>
          <w:p w14:paraId="023BD559" w14:textId="238760BA" w:rsidR="00566860" w:rsidRPr="00AF627B" w:rsidRDefault="00566860" w:rsidP="00193583">
            <w:pPr>
              <w:numPr>
                <w:ilvl w:val="0"/>
                <w:numId w:val="2"/>
              </w:numPr>
              <w:spacing w:line="259" w:lineRule="auto"/>
              <w:jc w:val="both"/>
            </w:pPr>
            <w:r w:rsidRPr="00AF627B">
              <w:t>Yes</w:t>
            </w:r>
            <w:r w:rsidR="00193583">
              <w:t xml:space="preserve">          - </w:t>
            </w:r>
            <w:r w:rsidRPr="00AF627B">
              <w:t>No (go to Q8)</w:t>
            </w:r>
          </w:p>
          <w:p w14:paraId="4C7461D1" w14:textId="77777777" w:rsidR="00566860" w:rsidRPr="00AF627B" w:rsidRDefault="00566860" w:rsidP="00F959ED">
            <w:pPr>
              <w:spacing w:after="160" w:line="259" w:lineRule="auto"/>
              <w:jc w:val="both"/>
            </w:pPr>
          </w:p>
          <w:p w14:paraId="27D96865" w14:textId="77777777" w:rsidR="00566860" w:rsidRPr="00AF627B" w:rsidRDefault="00566860" w:rsidP="00343E42">
            <w:pPr>
              <w:spacing w:line="259" w:lineRule="auto"/>
              <w:jc w:val="both"/>
            </w:pPr>
            <w:r w:rsidRPr="00AF627B">
              <w:t xml:space="preserve">Q3. Is there a document for any agricultural land you own or hold use rights to that is issued by or registered at the Land Registry/ Cadastral </w:t>
            </w:r>
            <w:r w:rsidRPr="00AF627B">
              <w:lastRenderedPageBreak/>
              <w:t>Agency, such as a title deed, certificate of ownership, certificate of hereditary acquisition, lease or rental contract?</w:t>
            </w:r>
          </w:p>
          <w:p w14:paraId="7C2EE99B" w14:textId="251228F1" w:rsidR="00566860" w:rsidRPr="00AF627B" w:rsidRDefault="00566860" w:rsidP="00193583">
            <w:pPr>
              <w:numPr>
                <w:ilvl w:val="0"/>
                <w:numId w:val="2"/>
              </w:numPr>
              <w:spacing w:line="259" w:lineRule="auto"/>
              <w:jc w:val="both"/>
            </w:pPr>
            <w:r w:rsidRPr="00AF627B">
              <w:t>Yes</w:t>
            </w:r>
            <w:r w:rsidR="00193583">
              <w:t xml:space="preserve">           - </w:t>
            </w:r>
            <w:r w:rsidRPr="00AF627B">
              <w:t>No (go to Q5)</w:t>
            </w:r>
          </w:p>
          <w:p w14:paraId="2EC4D2D9" w14:textId="77777777" w:rsidR="00566860" w:rsidRPr="00AF627B" w:rsidRDefault="00566860" w:rsidP="00F959ED">
            <w:pPr>
              <w:spacing w:after="160" w:line="259" w:lineRule="auto"/>
              <w:jc w:val="both"/>
            </w:pPr>
          </w:p>
          <w:p w14:paraId="4FD9AC44" w14:textId="77777777" w:rsidR="00566860" w:rsidRPr="00AF627B" w:rsidRDefault="00566860" w:rsidP="00343E42">
            <w:pPr>
              <w:spacing w:line="259" w:lineRule="auto"/>
              <w:jc w:val="both"/>
            </w:pPr>
            <w:r w:rsidRPr="00AF627B">
              <w:t xml:space="preserve">Q4. What type of documents are there for the agricultural land you own or hold use rights to, and is your name listed on any of the documents as owner or right use holder? List up to 3, show photo aid </w:t>
            </w:r>
          </w:p>
          <w:p w14:paraId="6CB299F2" w14:textId="77777777" w:rsidR="00566860" w:rsidRPr="00AF627B" w:rsidRDefault="00566860" w:rsidP="00343E42">
            <w:pPr>
              <w:spacing w:line="259" w:lineRule="auto"/>
              <w:jc w:val="both"/>
            </w:pPr>
            <w:r w:rsidRPr="00AF627B">
              <w:t xml:space="preserve">- Title deed </w:t>
            </w:r>
          </w:p>
          <w:p w14:paraId="1AC8D2AD" w14:textId="77777777" w:rsidR="00566860" w:rsidRPr="00AF627B" w:rsidRDefault="00566860" w:rsidP="00343E42">
            <w:pPr>
              <w:spacing w:line="259" w:lineRule="auto"/>
              <w:jc w:val="both"/>
            </w:pPr>
            <w:r w:rsidRPr="00AF627B">
              <w:t xml:space="preserve">- Certificate of customary ownership </w:t>
            </w:r>
          </w:p>
          <w:p w14:paraId="2546F0C5" w14:textId="77777777" w:rsidR="00566860" w:rsidRPr="00AF627B" w:rsidRDefault="00566860" w:rsidP="00343E42">
            <w:pPr>
              <w:spacing w:line="259" w:lineRule="auto"/>
              <w:jc w:val="both"/>
            </w:pPr>
            <w:r w:rsidRPr="00AF627B">
              <w:t xml:space="preserve">- Certificate of occupancy </w:t>
            </w:r>
          </w:p>
          <w:p w14:paraId="2D8F78B4" w14:textId="77777777" w:rsidR="00566860" w:rsidRPr="00AF627B" w:rsidRDefault="00566860" w:rsidP="00343E42">
            <w:pPr>
              <w:spacing w:line="259" w:lineRule="auto"/>
              <w:jc w:val="both"/>
            </w:pPr>
            <w:r w:rsidRPr="00AF627B">
              <w:t>- Certificate of hereditary acquisition listed</w:t>
            </w:r>
          </w:p>
          <w:p w14:paraId="741661A3" w14:textId="77777777" w:rsidR="00566860" w:rsidRPr="00AF627B" w:rsidRDefault="00566860" w:rsidP="00343E42">
            <w:pPr>
              <w:spacing w:line="259" w:lineRule="auto"/>
              <w:jc w:val="both"/>
            </w:pPr>
            <w:r w:rsidRPr="00AF627B">
              <w:t>- In registry</w:t>
            </w:r>
          </w:p>
          <w:p w14:paraId="19AC98A9" w14:textId="77777777" w:rsidR="00566860" w:rsidRPr="00AF627B" w:rsidRDefault="00566860" w:rsidP="00343E42">
            <w:pPr>
              <w:spacing w:line="259" w:lineRule="auto"/>
              <w:jc w:val="both"/>
            </w:pPr>
            <w:r w:rsidRPr="00AF627B">
              <w:t xml:space="preserve">- Survey plan </w:t>
            </w:r>
          </w:p>
          <w:p w14:paraId="0D695B59" w14:textId="77777777" w:rsidR="00566860" w:rsidRPr="00AF627B" w:rsidRDefault="00566860" w:rsidP="00343E42">
            <w:pPr>
              <w:spacing w:line="259" w:lineRule="auto"/>
              <w:jc w:val="both"/>
            </w:pPr>
            <w:r w:rsidRPr="00AF627B">
              <w:t xml:space="preserve">- Rental contract, registered </w:t>
            </w:r>
          </w:p>
          <w:p w14:paraId="1DE2118B" w14:textId="77777777" w:rsidR="00566860" w:rsidRPr="00AF627B" w:rsidRDefault="00566860" w:rsidP="00343E42">
            <w:pPr>
              <w:spacing w:line="259" w:lineRule="auto"/>
              <w:jc w:val="both"/>
            </w:pPr>
            <w:r w:rsidRPr="00AF627B">
              <w:t>- Registered</w:t>
            </w:r>
          </w:p>
          <w:p w14:paraId="04C7BB6B" w14:textId="77777777" w:rsidR="00566860" w:rsidRPr="00AF627B" w:rsidRDefault="00566860" w:rsidP="00343E42">
            <w:pPr>
              <w:spacing w:line="259" w:lineRule="auto"/>
              <w:jc w:val="both"/>
            </w:pPr>
            <w:r w:rsidRPr="00AF627B">
              <w:t xml:space="preserve">- Leased, registered </w:t>
            </w:r>
          </w:p>
          <w:p w14:paraId="7D6DBB01" w14:textId="673B8F8E" w:rsidR="00566860" w:rsidRDefault="00566860" w:rsidP="00343E42">
            <w:pPr>
              <w:spacing w:line="259" w:lineRule="auto"/>
              <w:jc w:val="both"/>
            </w:pPr>
            <w:r w:rsidRPr="00AF627B">
              <w:t xml:space="preserve">- Other (specify) </w:t>
            </w:r>
          </w:p>
          <w:p w14:paraId="72FF18EB" w14:textId="77777777" w:rsidR="00193583" w:rsidRPr="00AF627B" w:rsidRDefault="00193583" w:rsidP="00343E42">
            <w:pPr>
              <w:spacing w:line="259" w:lineRule="auto"/>
              <w:jc w:val="both"/>
            </w:pPr>
          </w:p>
          <w:p w14:paraId="64543DF9" w14:textId="77777777" w:rsidR="00566860" w:rsidRPr="00AF627B" w:rsidRDefault="00566860" w:rsidP="00343E42">
            <w:pPr>
              <w:spacing w:line="259" w:lineRule="auto"/>
              <w:jc w:val="both"/>
            </w:pPr>
            <w:r w:rsidRPr="00AF627B">
              <w:t>Q5. Do you have the right to sell any of the agricultural land you own or hold use rights to, either alone or jointly with someone else?</w:t>
            </w:r>
          </w:p>
          <w:p w14:paraId="698E7A2F" w14:textId="77777777" w:rsidR="00193583" w:rsidRDefault="00193583" w:rsidP="00193583">
            <w:pPr>
              <w:jc w:val="both"/>
            </w:pPr>
            <w:r>
              <w:t>-Yes     - No     - DK    - Refusal</w:t>
            </w:r>
          </w:p>
          <w:p w14:paraId="0025D9C9" w14:textId="77777777" w:rsidR="00566860" w:rsidRPr="00AF627B" w:rsidRDefault="00566860" w:rsidP="00F959ED">
            <w:pPr>
              <w:spacing w:after="160" w:line="259" w:lineRule="auto"/>
              <w:jc w:val="both"/>
            </w:pPr>
          </w:p>
          <w:p w14:paraId="4720A818" w14:textId="77777777" w:rsidR="00566860" w:rsidRPr="00AF627B" w:rsidRDefault="00566860" w:rsidP="00343E42">
            <w:pPr>
              <w:spacing w:line="259" w:lineRule="auto"/>
              <w:jc w:val="both"/>
            </w:pPr>
            <w:r w:rsidRPr="00AF627B">
              <w:t>Q6. Do you have the right to bequeath any of the agricultural land you own or hold use rights to, either alone or jointly with someone else?</w:t>
            </w:r>
          </w:p>
          <w:p w14:paraId="055887C4" w14:textId="33707A8B" w:rsidR="00566860" w:rsidRDefault="00193583" w:rsidP="00193583">
            <w:pPr>
              <w:jc w:val="both"/>
            </w:pPr>
            <w:r>
              <w:t>-Yes     - No     - DK    - Refusal</w:t>
            </w:r>
          </w:p>
          <w:p w14:paraId="7D19F0E6" w14:textId="77777777" w:rsidR="00193583" w:rsidRPr="00AF627B" w:rsidRDefault="00193583" w:rsidP="00193583">
            <w:pPr>
              <w:jc w:val="both"/>
            </w:pPr>
          </w:p>
          <w:p w14:paraId="305D1BBB" w14:textId="77777777" w:rsidR="00566860" w:rsidRPr="00AF627B" w:rsidRDefault="00566860" w:rsidP="00343E42">
            <w:pPr>
              <w:spacing w:line="259" w:lineRule="auto"/>
              <w:jc w:val="both"/>
            </w:pPr>
            <w:r w:rsidRPr="00AF627B">
              <w:lastRenderedPageBreak/>
              <w:t>Q7. On a scale from 1 to 5, where 1 is not at all likely and 5 is extremely likely, how likely are you to involuntarily lose ownership or use rights to any of the agricultural land you own or hold use rights to in the next 5 years?</w:t>
            </w:r>
          </w:p>
          <w:p w14:paraId="7EFDB13E" w14:textId="77777777" w:rsidR="00566860" w:rsidRPr="00AF627B" w:rsidRDefault="00566860" w:rsidP="00343E42">
            <w:pPr>
              <w:numPr>
                <w:ilvl w:val="0"/>
                <w:numId w:val="2"/>
              </w:numPr>
              <w:spacing w:line="259" w:lineRule="auto"/>
              <w:jc w:val="both"/>
            </w:pPr>
            <w:r w:rsidRPr="00AF627B">
              <w:t>Not at all likely</w:t>
            </w:r>
          </w:p>
          <w:p w14:paraId="65858F55" w14:textId="77777777" w:rsidR="00566860" w:rsidRPr="00AF627B" w:rsidRDefault="00566860" w:rsidP="00343E42">
            <w:pPr>
              <w:numPr>
                <w:ilvl w:val="0"/>
                <w:numId w:val="2"/>
              </w:numPr>
              <w:spacing w:line="259" w:lineRule="auto"/>
              <w:jc w:val="both"/>
            </w:pPr>
            <w:r w:rsidRPr="00AF627B">
              <w:t>Slightly likely</w:t>
            </w:r>
          </w:p>
          <w:p w14:paraId="4FD89ACD" w14:textId="77777777" w:rsidR="00566860" w:rsidRPr="00AF627B" w:rsidRDefault="00566860" w:rsidP="00343E42">
            <w:pPr>
              <w:numPr>
                <w:ilvl w:val="0"/>
                <w:numId w:val="2"/>
              </w:numPr>
              <w:spacing w:line="259" w:lineRule="auto"/>
              <w:jc w:val="both"/>
            </w:pPr>
            <w:r w:rsidRPr="00AF627B">
              <w:t>Moderately likely</w:t>
            </w:r>
          </w:p>
          <w:p w14:paraId="43B78C08" w14:textId="77777777" w:rsidR="00566860" w:rsidRPr="00AF627B" w:rsidRDefault="00566860" w:rsidP="00343E42">
            <w:pPr>
              <w:numPr>
                <w:ilvl w:val="0"/>
                <w:numId w:val="2"/>
              </w:numPr>
              <w:spacing w:line="259" w:lineRule="auto"/>
              <w:jc w:val="both"/>
            </w:pPr>
            <w:r w:rsidRPr="00AF627B">
              <w:t>Very likely</w:t>
            </w:r>
          </w:p>
          <w:p w14:paraId="7383D569" w14:textId="77777777" w:rsidR="00566860" w:rsidRPr="00AF627B" w:rsidRDefault="00566860" w:rsidP="00343E42">
            <w:pPr>
              <w:numPr>
                <w:ilvl w:val="0"/>
                <w:numId w:val="2"/>
              </w:numPr>
              <w:spacing w:line="259" w:lineRule="auto"/>
              <w:jc w:val="both"/>
            </w:pPr>
            <w:r w:rsidRPr="00AF627B">
              <w:t>Extremely likely</w:t>
            </w:r>
          </w:p>
          <w:p w14:paraId="239F1A6D" w14:textId="77777777" w:rsidR="00566860" w:rsidRPr="00AF627B" w:rsidRDefault="00566860" w:rsidP="00F959ED">
            <w:pPr>
              <w:spacing w:after="160" w:line="259" w:lineRule="auto"/>
              <w:jc w:val="both"/>
            </w:pPr>
          </w:p>
        </w:tc>
      </w:tr>
    </w:tbl>
    <w:p w14:paraId="3536631F" w14:textId="77777777" w:rsidR="00F61F36" w:rsidRPr="00AE35B1" w:rsidRDefault="00F61F36" w:rsidP="00566860"/>
    <w:sectPr w:rsidR="00F61F36" w:rsidRPr="00AE35B1" w:rsidSect="003E1B6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42E26" w14:textId="77777777" w:rsidR="00105E5F" w:rsidRDefault="00105E5F" w:rsidP="00566860">
      <w:pPr>
        <w:spacing w:after="0" w:line="240" w:lineRule="auto"/>
      </w:pPr>
      <w:r>
        <w:separator/>
      </w:r>
    </w:p>
  </w:endnote>
  <w:endnote w:type="continuationSeparator" w:id="0">
    <w:p w14:paraId="73A92193" w14:textId="77777777" w:rsidR="00105E5F" w:rsidRDefault="00105E5F" w:rsidP="00566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1D437" w14:textId="77777777" w:rsidR="00105E5F" w:rsidRDefault="00105E5F" w:rsidP="00566860">
      <w:pPr>
        <w:spacing w:after="0" w:line="240" w:lineRule="auto"/>
      </w:pPr>
      <w:r>
        <w:separator/>
      </w:r>
    </w:p>
  </w:footnote>
  <w:footnote w:type="continuationSeparator" w:id="0">
    <w:p w14:paraId="028432D5" w14:textId="77777777" w:rsidR="00105E5F" w:rsidRDefault="00105E5F" w:rsidP="00566860">
      <w:pPr>
        <w:spacing w:after="0" w:line="240" w:lineRule="auto"/>
      </w:pPr>
      <w:r>
        <w:continuationSeparator/>
      </w:r>
    </w:p>
  </w:footnote>
  <w:footnote w:id="1">
    <w:p w14:paraId="54E6F2BC" w14:textId="77777777" w:rsidR="00F41DCF" w:rsidRDefault="00F41DCF" w:rsidP="00F41DCF">
      <w:pPr>
        <w:pStyle w:val="FootnoteText"/>
        <w:rPr>
          <w:lang w:val="en-GB"/>
        </w:rPr>
      </w:pPr>
      <w:r>
        <w:rPr>
          <w:rStyle w:val="FootnoteReference"/>
        </w:rPr>
        <w:t>[1]</w:t>
      </w:r>
      <w:r>
        <w:t xml:space="preserve"> </w:t>
      </w:r>
      <w:r>
        <w:rPr>
          <w:sz w:val="18"/>
          <w:szCs w:val="18"/>
        </w:rPr>
        <w:t xml:space="preserve">Source: Relevance and effectiveness of the statistical work of regional commissions - thematic evaluation of regional commissions, Committee for </w:t>
      </w:r>
      <w:proofErr w:type="spellStart"/>
      <w:r>
        <w:rPr>
          <w:sz w:val="18"/>
          <w:szCs w:val="18"/>
        </w:rPr>
        <w:t>Programme</w:t>
      </w:r>
      <w:proofErr w:type="spellEnd"/>
      <w:r>
        <w:rPr>
          <w:sz w:val="18"/>
          <w:szCs w:val="18"/>
        </w:rPr>
        <w:t xml:space="preserve"> and Coordination, 57th session, April 2017 (E/AC.51/2017/8)</w:t>
      </w:r>
    </w:p>
  </w:footnote>
  <w:footnote w:id="2">
    <w:p w14:paraId="0D74F459" w14:textId="77777777" w:rsidR="00D935DB" w:rsidRPr="003042A4" w:rsidRDefault="00D935DB" w:rsidP="00D935DB">
      <w:pPr>
        <w:spacing w:before="120" w:after="0" w:line="240" w:lineRule="auto"/>
        <w:jc w:val="both"/>
        <w:rPr>
          <w:rFonts w:cs="Times New Roman"/>
          <w:sz w:val="16"/>
          <w:szCs w:val="16"/>
        </w:rPr>
      </w:pPr>
      <w:r w:rsidRPr="003042A4">
        <w:rPr>
          <w:rStyle w:val="FootnoteReference"/>
          <w:rFonts w:cs="Times New Roman"/>
          <w:color w:val="404040" w:themeColor="text1" w:themeTint="BF"/>
          <w:sz w:val="16"/>
          <w:szCs w:val="16"/>
        </w:rPr>
        <w:footnoteRef/>
      </w:r>
      <w:r w:rsidRPr="003042A4">
        <w:rPr>
          <w:rFonts w:cs="Times New Roman"/>
          <w:color w:val="404040" w:themeColor="text1" w:themeTint="BF"/>
          <w:sz w:val="16"/>
          <w:szCs w:val="16"/>
        </w:rPr>
        <w:t xml:space="preserve"> </w:t>
      </w:r>
      <w:r w:rsidRPr="003042A4">
        <w:rPr>
          <w:rFonts w:cs="Times New Roman"/>
          <w:i/>
          <w:color w:val="404040" w:themeColor="text1" w:themeTint="BF"/>
          <w:sz w:val="16"/>
          <w:szCs w:val="16"/>
        </w:rPr>
        <w:t>Group rights</w:t>
      </w:r>
      <w:r w:rsidRPr="003042A4">
        <w:rPr>
          <w:rFonts w:cs="Times New Roman"/>
          <w:color w:val="404040" w:themeColor="text1" w:themeTint="BF"/>
          <w:sz w:val="16"/>
          <w:szCs w:val="16"/>
        </w:rPr>
        <w:t xml:space="preserve"> include shared or collective rights, and examples include the ejido in Mexico, indigenous territories in Honduras, perpetual DUAT for rural communities in Mozambique. Collective rights occur in a situation where holders of rights to land and natural resources are clearly defined as a collective group and have the right to exclude third parties from the enjoyment of those rights.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156"/>
    <w:multiLevelType w:val="hybridMultilevel"/>
    <w:tmpl w:val="61F2D57A"/>
    <w:lvl w:ilvl="0" w:tplc="6D722A9E">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12801"/>
    <w:multiLevelType w:val="hybridMultilevel"/>
    <w:tmpl w:val="CE588858"/>
    <w:lvl w:ilvl="0" w:tplc="C8841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3645F3"/>
    <w:multiLevelType w:val="hybridMultilevel"/>
    <w:tmpl w:val="BA42223A"/>
    <w:lvl w:ilvl="0" w:tplc="87508DB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B01C99"/>
    <w:multiLevelType w:val="hybridMultilevel"/>
    <w:tmpl w:val="E124D6FA"/>
    <w:lvl w:ilvl="0" w:tplc="6CA693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8C2FF2"/>
    <w:multiLevelType w:val="hybridMultilevel"/>
    <w:tmpl w:val="2F52A850"/>
    <w:lvl w:ilvl="0" w:tplc="09BA8612">
      <w:start w:val="1"/>
      <w:numFmt w:val="bullet"/>
      <w:lvlText w:val=""/>
      <w:lvlJc w:val="left"/>
      <w:pPr>
        <w:ind w:left="720" w:hanging="360"/>
      </w:pPr>
      <w:rPr>
        <w:rFonts w:ascii="Symbol" w:hAnsi="Symbol" w:hint="default"/>
      </w:rPr>
    </w:lvl>
    <w:lvl w:ilvl="1" w:tplc="C15C85D6" w:tentative="1">
      <w:start w:val="1"/>
      <w:numFmt w:val="bullet"/>
      <w:lvlText w:val="o"/>
      <w:lvlJc w:val="left"/>
      <w:pPr>
        <w:ind w:left="1440" w:hanging="360"/>
      </w:pPr>
      <w:rPr>
        <w:rFonts w:ascii="Courier New" w:hAnsi="Courier New" w:cs="Courier New" w:hint="default"/>
      </w:rPr>
    </w:lvl>
    <w:lvl w:ilvl="2" w:tplc="F8D6CC20" w:tentative="1">
      <w:start w:val="1"/>
      <w:numFmt w:val="bullet"/>
      <w:lvlText w:val=""/>
      <w:lvlJc w:val="left"/>
      <w:pPr>
        <w:ind w:left="2160" w:hanging="360"/>
      </w:pPr>
      <w:rPr>
        <w:rFonts w:ascii="Wingdings" w:hAnsi="Wingdings" w:hint="default"/>
      </w:rPr>
    </w:lvl>
    <w:lvl w:ilvl="3" w:tplc="87042D02" w:tentative="1">
      <w:start w:val="1"/>
      <w:numFmt w:val="bullet"/>
      <w:lvlText w:val=""/>
      <w:lvlJc w:val="left"/>
      <w:pPr>
        <w:ind w:left="2880" w:hanging="360"/>
      </w:pPr>
      <w:rPr>
        <w:rFonts w:ascii="Symbol" w:hAnsi="Symbol" w:hint="default"/>
      </w:rPr>
    </w:lvl>
    <w:lvl w:ilvl="4" w:tplc="03A88880" w:tentative="1">
      <w:start w:val="1"/>
      <w:numFmt w:val="bullet"/>
      <w:lvlText w:val="o"/>
      <w:lvlJc w:val="left"/>
      <w:pPr>
        <w:ind w:left="3600" w:hanging="360"/>
      </w:pPr>
      <w:rPr>
        <w:rFonts w:ascii="Courier New" w:hAnsi="Courier New" w:cs="Courier New" w:hint="default"/>
      </w:rPr>
    </w:lvl>
    <w:lvl w:ilvl="5" w:tplc="12D6E90C" w:tentative="1">
      <w:start w:val="1"/>
      <w:numFmt w:val="bullet"/>
      <w:lvlText w:val=""/>
      <w:lvlJc w:val="left"/>
      <w:pPr>
        <w:ind w:left="4320" w:hanging="360"/>
      </w:pPr>
      <w:rPr>
        <w:rFonts w:ascii="Wingdings" w:hAnsi="Wingdings" w:hint="default"/>
      </w:rPr>
    </w:lvl>
    <w:lvl w:ilvl="6" w:tplc="F2DA3B5C" w:tentative="1">
      <w:start w:val="1"/>
      <w:numFmt w:val="bullet"/>
      <w:lvlText w:val=""/>
      <w:lvlJc w:val="left"/>
      <w:pPr>
        <w:ind w:left="5040" w:hanging="360"/>
      </w:pPr>
      <w:rPr>
        <w:rFonts w:ascii="Symbol" w:hAnsi="Symbol" w:hint="default"/>
      </w:rPr>
    </w:lvl>
    <w:lvl w:ilvl="7" w:tplc="9D7AF14A" w:tentative="1">
      <w:start w:val="1"/>
      <w:numFmt w:val="bullet"/>
      <w:lvlText w:val="o"/>
      <w:lvlJc w:val="left"/>
      <w:pPr>
        <w:ind w:left="5760" w:hanging="360"/>
      </w:pPr>
      <w:rPr>
        <w:rFonts w:ascii="Courier New" w:hAnsi="Courier New" w:cs="Courier New" w:hint="default"/>
      </w:rPr>
    </w:lvl>
    <w:lvl w:ilvl="8" w:tplc="26A85B5E"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860"/>
    <w:rsid w:val="00017BCF"/>
    <w:rsid w:val="000554D3"/>
    <w:rsid w:val="000561E6"/>
    <w:rsid w:val="000574D5"/>
    <w:rsid w:val="00067F14"/>
    <w:rsid w:val="000D54F5"/>
    <w:rsid w:val="00105E5F"/>
    <w:rsid w:val="00135557"/>
    <w:rsid w:val="001675FE"/>
    <w:rsid w:val="00193583"/>
    <w:rsid w:val="00243435"/>
    <w:rsid w:val="0026191D"/>
    <w:rsid w:val="00270614"/>
    <w:rsid w:val="002D393B"/>
    <w:rsid w:val="002E6339"/>
    <w:rsid w:val="002F2C9B"/>
    <w:rsid w:val="003048AC"/>
    <w:rsid w:val="00343E42"/>
    <w:rsid w:val="00355864"/>
    <w:rsid w:val="00375D16"/>
    <w:rsid w:val="003E1B6F"/>
    <w:rsid w:val="003E7CE6"/>
    <w:rsid w:val="004372D2"/>
    <w:rsid w:val="004421B7"/>
    <w:rsid w:val="00484ED3"/>
    <w:rsid w:val="004A3273"/>
    <w:rsid w:val="004F4440"/>
    <w:rsid w:val="00506EFA"/>
    <w:rsid w:val="005437C9"/>
    <w:rsid w:val="00543AAF"/>
    <w:rsid w:val="00564C32"/>
    <w:rsid w:val="00566860"/>
    <w:rsid w:val="005E21F2"/>
    <w:rsid w:val="005E675D"/>
    <w:rsid w:val="005F5AB5"/>
    <w:rsid w:val="00622632"/>
    <w:rsid w:val="006631E9"/>
    <w:rsid w:val="006A161E"/>
    <w:rsid w:val="006B2933"/>
    <w:rsid w:val="006B3EB6"/>
    <w:rsid w:val="006D6F4E"/>
    <w:rsid w:val="006E1F59"/>
    <w:rsid w:val="006E66C5"/>
    <w:rsid w:val="0078349C"/>
    <w:rsid w:val="0081470B"/>
    <w:rsid w:val="00826738"/>
    <w:rsid w:val="00834942"/>
    <w:rsid w:val="00837C5F"/>
    <w:rsid w:val="0089223D"/>
    <w:rsid w:val="008B62F5"/>
    <w:rsid w:val="008C346E"/>
    <w:rsid w:val="00913154"/>
    <w:rsid w:val="00930E40"/>
    <w:rsid w:val="00971FDB"/>
    <w:rsid w:val="009C0244"/>
    <w:rsid w:val="009E61DE"/>
    <w:rsid w:val="00A12BA6"/>
    <w:rsid w:val="00A50852"/>
    <w:rsid w:val="00A53121"/>
    <w:rsid w:val="00A578BD"/>
    <w:rsid w:val="00AB425E"/>
    <w:rsid w:val="00AE35B1"/>
    <w:rsid w:val="00AF627B"/>
    <w:rsid w:val="00B30F59"/>
    <w:rsid w:val="00B70791"/>
    <w:rsid w:val="00BA0D87"/>
    <w:rsid w:val="00BC0274"/>
    <w:rsid w:val="00C24002"/>
    <w:rsid w:val="00C3075C"/>
    <w:rsid w:val="00C46024"/>
    <w:rsid w:val="00C649FE"/>
    <w:rsid w:val="00C71DE1"/>
    <w:rsid w:val="00C8012E"/>
    <w:rsid w:val="00CB073C"/>
    <w:rsid w:val="00CC0C0B"/>
    <w:rsid w:val="00CF1629"/>
    <w:rsid w:val="00CF50DC"/>
    <w:rsid w:val="00D935DB"/>
    <w:rsid w:val="00DC7AB2"/>
    <w:rsid w:val="00DE28AA"/>
    <w:rsid w:val="00E12EA4"/>
    <w:rsid w:val="00E273E1"/>
    <w:rsid w:val="00E50FD3"/>
    <w:rsid w:val="00EE0FFE"/>
    <w:rsid w:val="00F00723"/>
    <w:rsid w:val="00F41844"/>
    <w:rsid w:val="00F41DCF"/>
    <w:rsid w:val="00F61F36"/>
    <w:rsid w:val="00F959E6"/>
    <w:rsid w:val="00F959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1B333"/>
  <w15:chartTrackingRefBased/>
  <w15:docId w15:val="{CF9CB707-207C-4335-86E5-30EC73D5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668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6860"/>
    <w:rPr>
      <w:sz w:val="20"/>
      <w:szCs w:val="20"/>
    </w:rPr>
  </w:style>
  <w:style w:type="character" w:styleId="FootnoteReference">
    <w:name w:val="footnote reference"/>
    <w:aliases w:val="Footnotes refss,ftref"/>
    <w:basedOn w:val="DefaultParagraphFont"/>
    <w:uiPriority w:val="99"/>
    <w:unhideWhenUsed/>
    <w:rsid w:val="00566860"/>
    <w:rPr>
      <w:vertAlign w:val="superscript"/>
    </w:rPr>
  </w:style>
  <w:style w:type="table" w:styleId="TableGrid">
    <w:name w:val="Table Grid"/>
    <w:basedOn w:val="TableNormal"/>
    <w:uiPriority w:val="39"/>
    <w:rsid w:val="00566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6860"/>
    <w:rPr>
      <w:color w:val="0563C1" w:themeColor="hyperlink"/>
      <w:u w:val="single"/>
    </w:rPr>
  </w:style>
  <w:style w:type="character" w:customStyle="1" w:styleId="UnresolvedMention">
    <w:name w:val="Unresolved Mention"/>
    <w:basedOn w:val="DefaultParagraphFont"/>
    <w:uiPriority w:val="99"/>
    <w:semiHidden/>
    <w:unhideWhenUsed/>
    <w:rsid w:val="00566860"/>
    <w:rPr>
      <w:color w:val="605E5C"/>
      <w:shd w:val="clear" w:color="auto" w:fill="E1DFDD"/>
    </w:rPr>
  </w:style>
  <w:style w:type="paragraph" w:styleId="ListParagraph">
    <w:name w:val="List Paragraph"/>
    <w:basedOn w:val="Normal"/>
    <w:uiPriority w:val="34"/>
    <w:unhideWhenUsed/>
    <w:qFormat/>
    <w:rsid w:val="006D6F4E"/>
    <w:pPr>
      <w:spacing w:after="0" w:line="240" w:lineRule="auto"/>
      <w:ind w:left="720"/>
      <w:contextualSpacing/>
    </w:pPr>
  </w:style>
  <w:style w:type="paragraph" w:styleId="Caption">
    <w:name w:val="caption"/>
    <w:basedOn w:val="Normal"/>
    <w:next w:val="Normal"/>
    <w:uiPriority w:val="35"/>
    <w:unhideWhenUsed/>
    <w:qFormat/>
    <w:rsid w:val="005E21F2"/>
    <w:pPr>
      <w:spacing w:after="200" w:line="240" w:lineRule="auto"/>
    </w:pPr>
    <w:rPr>
      <w:i/>
      <w:iCs/>
      <w:color w:val="44546A" w:themeColor="text2"/>
      <w:sz w:val="18"/>
      <w:szCs w:val="18"/>
    </w:rPr>
  </w:style>
  <w:style w:type="paragraph" w:customStyle="1" w:styleId="MText">
    <w:name w:val="M.Text"/>
    <w:basedOn w:val="Normal"/>
    <w:link w:val="MTextChar"/>
    <w:qFormat/>
    <w:rsid w:val="00826738"/>
    <w:pPr>
      <w:shd w:val="clear" w:color="auto" w:fill="FFFFFF"/>
      <w:spacing w:after="0" w:line="276" w:lineRule="auto"/>
    </w:pPr>
    <w:rPr>
      <w:rFonts w:eastAsia="Times New Roman" w:cs="Times New Roman"/>
      <w:color w:val="4A4A4A"/>
      <w:sz w:val="21"/>
      <w:szCs w:val="21"/>
      <w:lang w:val="en-GB" w:eastAsia="en-GB"/>
    </w:rPr>
  </w:style>
  <w:style w:type="character" w:customStyle="1" w:styleId="MTextChar">
    <w:name w:val="M.Text Char"/>
    <w:basedOn w:val="DefaultParagraphFont"/>
    <w:link w:val="MText"/>
    <w:rsid w:val="00826738"/>
    <w:rPr>
      <w:rFonts w:eastAsia="Times New Roman" w:cs="Times New Roman"/>
      <w:color w:val="4A4A4A"/>
      <w:sz w:val="21"/>
      <w:szCs w:val="21"/>
      <w:shd w:val="clear" w:color="auto" w:fill="FFFFFF"/>
      <w:lang w:val="en-GB" w:eastAsia="en-GB"/>
    </w:rPr>
  </w:style>
  <w:style w:type="paragraph" w:styleId="BalloonText">
    <w:name w:val="Balloon Text"/>
    <w:basedOn w:val="Normal"/>
    <w:link w:val="BalloonTextChar"/>
    <w:uiPriority w:val="99"/>
    <w:semiHidden/>
    <w:unhideWhenUsed/>
    <w:rsid w:val="00564C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C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535">
      <w:bodyDiv w:val="1"/>
      <w:marLeft w:val="0"/>
      <w:marRight w:val="0"/>
      <w:marTop w:val="0"/>
      <w:marBottom w:val="0"/>
      <w:divBdr>
        <w:top w:val="none" w:sz="0" w:space="0" w:color="auto"/>
        <w:left w:val="none" w:sz="0" w:space="0" w:color="auto"/>
        <w:bottom w:val="none" w:sz="0" w:space="0" w:color="auto"/>
        <w:right w:val="none" w:sz="0" w:space="0" w:color="auto"/>
      </w:divBdr>
    </w:div>
    <w:div w:id="210852310">
      <w:bodyDiv w:val="1"/>
      <w:marLeft w:val="0"/>
      <w:marRight w:val="0"/>
      <w:marTop w:val="0"/>
      <w:marBottom w:val="0"/>
      <w:divBdr>
        <w:top w:val="none" w:sz="0" w:space="0" w:color="auto"/>
        <w:left w:val="none" w:sz="0" w:space="0" w:color="auto"/>
        <w:bottom w:val="none" w:sz="0" w:space="0" w:color="auto"/>
        <w:right w:val="none" w:sz="0" w:space="0" w:color="auto"/>
      </w:divBdr>
    </w:div>
    <w:div w:id="1666934400">
      <w:bodyDiv w:val="1"/>
      <w:marLeft w:val="0"/>
      <w:marRight w:val="0"/>
      <w:marTop w:val="0"/>
      <w:marBottom w:val="0"/>
      <w:divBdr>
        <w:top w:val="none" w:sz="0" w:space="0" w:color="auto"/>
        <w:left w:val="none" w:sz="0" w:space="0" w:color="auto"/>
        <w:bottom w:val="none" w:sz="0" w:space="0" w:color="auto"/>
        <w:right w:val="none" w:sz="0" w:space="0" w:color="auto"/>
      </w:divBdr>
    </w:div>
    <w:div w:id="210190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gltn.net/2019/08/27/measuring-individuals-rights-to-land/" TargetMode="External"/><Relationship Id="rId26" Type="http://schemas.openxmlformats.org/officeDocument/2006/relationships/hyperlink" Target="mailto:everlyne.nairesiae@un.org" TargetMode="External"/><Relationship Id="rId3" Type="http://schemas.openxmlformats.org/officeDocument/2006/relationships/customXml" Target="../customXml/item3.xml"/><Relationship Id="rId21" Type="http://schemas.openxmlformats.org/officeDocument/2006/relationships/hyperlink" Target="https://unstats.un.org/sdgs/metadata/files/Metadata-05-0a-01.pdf" TargetMode="External"/><Relationship Id="rId7" Type="http://schemas.openxmlformats.org/officeDocument/2006/relationships/settings" Target="settings.xml"/><Relationship Id="rId12" Type="http://schemas.openxmlformats.org/officeDocument/2006/relationships/image" Target="cid:image001.png@01D71CB5.89C42370" TargetMode="External"/><Relationship Id="rId17" Type="http://schemas.openxmlformats.org/officeDocument/2006/relationships/hyperlink" Target="https://unhabitat.org/sites/default/files/documents/2019-08/190824_measuring_individuals_rights_to_land_publishing_web_0.pdf" TargetMode="External"/><Relationship Id="rId25" Type="http://schemas.openxmlformats.org/officeDocument/2006/relationships/hyperlink" Target="mailto:robert.lewis-lettington@un.org" TargetMode="External"/><Relationship Id="rId2" Type="http://schemas.openxmlformats.org/officeDocument/2006/relationships/customXml" Target="../customXml/item2.xml"/><Relationship Id="rId16" Type="http://schemas.openxmlformats.org/officeDocument/2006/relationships/hyperlink" Target="mailto:al-hallak@un.org" TargetMode="External"/><Relationship Id="rId20" Type="http://schemas.openxmlformats.org/officeDocument/2006/relationships/hyperlink" Target="https://unstats.un.org/sdgs/metadata/files/Metadata-01-04-02.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Yonca.Gurbuzer@fao.org"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sgourlay@worldbank.org" TargetMode="External"/><Relationship Id="rId28" Type="http://schemas.openxmlformats.org/officeDocument/2006/relationships/hyperlink" Target="mailto:clinton.omusula@un.org" TargetMode="External"/><Relationship Id="rId10" Type="http://schemas.openxmlformats.org/officeDocument/2006/relationships/endnotes" Target="endnotes.xml"/><Relationship Id="rId19" Type="http://schemas.openxmlformats.org/officeDocument/2006/relationships/hyperlink" Target="https://www.unsdglearn.org/courses/sdg-indicator-5-a-1-equal-tenure-rights-for-women-on-agricultural-land-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thilhorst@worldbank.org" TargetMode="External"/><Relationship Id="rId27" Type="http://schemas.openxmlformats.org/officeDocument/2006/relationships/hyperlink" Target="mailto:donatien.beguy@un.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4418357FC8F940A8E2015BC396915A" ma:contentTypeVersion="4" ma:contentTypeDescription="Create a new document." ma:contentTypeScope="" ma:versionID="ef0948b666c2b1c63792688021790428">
  <xsd:schema xmlns:xsd="http://www.w3.org/2001/XMLSchema" xmlns:xs="http://www.w3.org/2001/XMLSchema" xmlns:p="http://schemas.microsoft.com/office/2006/metadata/properties" xmlns:ns2="667e7c11-c314-4132-ab3e-e37439030ee2" targetNamespace="http://schemas.microsoft.com/office/2006/metadata/properties" ma:root="true" ma:fieldsID="2a18745fb6ee9e9f3758275a12380b57" ns2:_="">
    <xsd:import namespace="667e7c11-c314-4132-ab3e-e37439030e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e7c11-c314-4132-ab3e-e37439030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8D025-F521-42EA-B2DD-F64527ED4E32}">
  <ds:schemaRefs>
    <ds:schemaRef ds:uri="http://schemas.microsoft.com/sharepoint/v3/contenttype/forms"/>
  </ds:schemaRefs>
</ds:datastoreItem>
</file>

<file path=customXml/itemProps2.xml><?xml version="1.0" encoding="utf-8"?>
<ds:datastoreItem xmlns:ds="http://schemas.openxmlformats.org/officeDocument/2006/customXml" ds:itemID="{12A20F4B-D26C-4828-92B8-BDC71DEEC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e7c11-c314-4132-ab3e-e37439030e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65D8A-FA8C-4A4D-9545-C780CF1DCE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027F52-4035-44CC-9EA0-BD086ED5F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3254</Words>
  <Characters>18550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Rabie El-Hubta</dc:creator>
  <cp:keywords/>
  <dc:description/>
  <cp:lastModifiedBy>Ditlecadet, Sophie (OCS)</cp:lastModifiedBy>
  <cp:revision>2</cp:revision>
  <cp:lastPrinted>2021-04-28T14:11:00Z</cp:lastPrinted>
  <dcterms:created xsi:type="dcterms:W3CDTF">2021-04-28T14:30:00Z</dcterms:created>
  <dcterms:modified xsi:type="dcterms:W3CDTF">2021-04-28T14:30:00Z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0x0101005D4418357FC8F940A8E2015BC396915A</vt:lpwstr>
  </property>
</Properties>
</file>